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5C76C2" w:rsidRDefault="009E0861" w:rsidP="00E826AD">
      <w:pPr>
        <w:spacing w:after="0" w:line="360" w:lineRule="auto"/>
        <w:jc w:val="both"/>
        <w:rPr>
          <w:rFonts w:ascii="Palatino Linotype" w:hAnsi="Palatino Linotype" w:cs="Tahoma"/>
          <w:b/>
          <w:caps/>
        </w:rPr>
      </w:pPr>
      <w:r w:rsidRPr="0086155F">
        <w:rPr>
          <w:rFonts w:ascii="Palatino Linotype" w:hAnsi="Palatino Linotype" w:cs="Tahoma"/>
          <w:b/>
        </w:rPr>
        <w:t>VOTO PARTICULAR QUE FORMULA EL COMISION</w:t>
      </w:r>
      <w:bookmarkStart w:id="0" w:name="_GoBack"/>
      <w:bookmarkEnd w:id="0"/>
      <w:r w:rsidRPr="0086155F">
        <w:rPr>
          <w:rFonts w:ascii="Palatino Linotype" w:hAnsi="Palatino Linotype" w:cs="Tahoma"/>
          <w:b/>
        </w:rPr>
        <w:t>ADO LUIS GUSTAVO PARRA NORIEGA, EN RELACIÓN CON LA RESO</w:t>
      </w:r>
      <w:r w:rsidR="00D32C2C" w:rsidRPr="0086155F">
        <w:rPr>
          <w:rFonts w:ascii="Palatino Linotype" w:hAnsi="Palatino Linotype" w:cs="Tahoma"/>
          <w:b/>
        </w:rPr>
        <w:t>LUCIÓN DEL RECURSO DE REVISIÓN 0</w:t>
      </w:r>
      <w:r w:rsidR="00500949" w:rsidRPr="0086155F">
        <w:rPr>
          <w:rFonts w:ascii="Palatino Linotype" w:hAnsi="Palatino Linotype" w:cs="Tahoma"/>
          <w:b/>
        </w:rPr>
        <w:t>3</w:t>
      </w:r>
      <w:r w:rsidR="005959CA">
        <w:rPr>
          <w:rFonts w:ascii="Palatino Linotype" w:hAnsi="Palatino Linotype" w:cs="Tahoma"/>
          <w:b/>
        </w:rPr>
        <w:t>634</w:t>
      </w:r>
      <w:r w:rsidRPr="0086155F">
        <w:rPr>
          <w:rFonts w:ascii="Palatino Linotype" w:hAnsi="Palatino Linotype" w:cs="Tahoma"/>
          <w:b/>
        </w:rPr>
        <w:t>/INFOEM/IP/RR/2018, PROMOVIDO EN CONTRA DE</w:t>
      </w:r>
      <w:r w:rsidR="00500949" w:rsidRPr="0086155F">
        <w:rPr>
          <w:rFonts w:ascii="Palatino Linotype" w:hAnsi="Palatino Linotype" w:cs="Tahoma"/>
          <w:b/>
        </w:rPr>
        <w:t xml:space="preserve">L </w:t>
      </w:r>
      <w:r w:rsidR="005959CA">
        <w:rPr>
          <w:rFonts w:ascii="Palatino Linotype" w:hAnsi="Palatino Linotype" w:cs="Tahoma"/>
          <w:b/>
          <w:caps/>
        </w:rPr>
        <w:t>Ayuntamiento de texcoco</w:t>
      </w:r>
      <w:r w:rsidR="00500949" w:rsidRPr="005C76C2">
        <w:rPr>
          <w:rFonts w:ascii="Palatino Linotype" w:hAnsi="Palatino Linotype" w:cs="Tahoma"/>
          <w:b/>
          <w:caps/>
        </w:rPr>
        <w:t>.</w:t>
      </w:r>
    </w:p>
    <w:p w:rsidR="00500949" w:rsidRPr="0086155F" w:rsidRDefault="00500949"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155F">
        <w:rPr>
          <w:rFonts w:ascii="Palatino Linotype" w:hAnsi="Palatino Linotype" w:cs="Tahoma"/>
          <w:b/>
        </w:rPr>
        <w:t>Voto Particular</w:t>
      </w:r>
      <w:r w:rsidRPr="0086155F">
        <w:rPr>
          <w:rFonts w:ascii="Palatino Linotype" w:hAnsi="Palatino Linotype" w:cs="Tahoma"/>
        </w:rPr>
        <w:t xml:space="preserve"> por no compartir en su totalidad las consideraciones que sustentan la Resolución del Recurso de Revisión </w:t>
      </w:r>
      <w:r w:rsidR="00D50D8F" w:rsidRPr="0086155F">
        <w:rPr>
          <w:rFonts w:ascii="Palatino Linotype" w:hAnsi="Palatino Linotype" w:cs="Tahoma"/>
        </w:rPr>
        <w:t>0</w:t>
      </w:r>
      <w:r w:rsidR="005959CA">
        <w:rPr>
          <w:rFonts w:ascii="Palatino Linotype" w:hAnsi="Palatino Linotype" w:cs="Tahoma"/>
        </w:rPr>
        <w:t>3634</w:t>
      </w:r>
      <w:r w:rsidR="00D50D8F" w:rsidRPr="0086155F">
        <w:rPr>
          <w:rFonts w:ascii="Palatino Linotype" w:hAnsi="Palatino Linotype" w:cs="Tahoma"/>
        </w:rPr>
        <w:t>/INFOEM/IP/RR/2018</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845B4" w:rsidRDefault="00EA7E26" w:rsidP="00E826AD">
      <w:pPr>
        <w:spacing w:after="0" w:line="360" w:lineRule="auto"/>
        <w:jc w:val="both"/>
        <w:rPr>
          <w:rFonts w:ascii="Palatino Linotype" w:hAnsi="Palatino Linotype" w:cs="Tahoma"/>
        </w:rPr>
      </w:pPr>
      <w:r w:rsidRPr="0086155F">
        <w:rPr>
          <w:rFonts w:ascii="Palatino Linotype" w:hAnsi="Palatino Linotype" w:cs="Tahoma"/>
        </w:rPr>
        <w:t>C</w:t>
      </w:r>
      <w:r w:rsidR="009E0861" w:rsidRPr="0086155F">
        <w:rPr>
          <w:rFonts w:ascii="Palatino Linotype" w:hAnsi="Palatino Linotype" w:cs="Tahoma"/>
        </w:rPr>
        <w:t xml:space="preserve">omo se desprende de la resolución </w:t>
      </w:r>
      <w:r w:rsidRPr="0086155F">
        <w:rPr>
          <w:rFonts w:ascii="Palatino Linotype" w:hAnsi="Palatino Linotype" w:cs="Tahoma"/>
        </w:rPr>
        <w:t>que nos ocupa</w:t>
      </w:r>
      <w:r w:rsidR="009E0861" w:rsidRPr="0086155F">
        <w:rPr>
          <w:rFonts w:ascii="Palatino Linotype" w:hAnsi="Palatino Linotype" w:cs="Tahoma"/>
        </w:rPr>
        <w:t>, el solicitante, requirió</w:t>
      </w:r>
      <w:r w:rsidR="009845B4">
        <w:rPr>
          <w:rFonts w:ascii="Palatino Linotype" w:hAnsi="Palatino Linotype" w:cs="Tahoma"/>
        </w:rPr>
        <w:t xml:space="preserve"> </w:t>
      </w:r>
      <w:r w:rsidR="0061484A" w:rsidRPr="0061484A">
        <w:rPr>
          <w:rFonts w:ascii="Palatino Linotype" w:hAnsi="Palatino Linotype" w:cs="Tahoma"/>
        </w:rPr>
        <w:t xml:space="preserve">a través del Sistema de Acceso, Rectificación, Cancelación y Oposición de Datos </w:t>
      </w:r>
      <w:r w:rsidR="0061484A">
        <w:rPr>
          <w:rFonts w:ascii="Palatino Linotype" w:hAnsi="Palatino Linotype" w:cs="Tahoma"/>
        </w:rPr>
        <w:t>Personales del Estado de México (</w:t>
      </w:r>
      <w:r w:rsidR="0061484A" w:rsidRPr="0061484A">
        <w:rPr>
          <w:rFonts w:ascii="Palatino Linotype" w:hAnsi="Palatino Linotype" w:cs="Tahoma"/>
        </w:rPr>
        <w:t>SARCOEM</w:t>
      </w:r>
      <w:r w:rsidR="0061484A">
        <w:rPr>
          <w:rFonts w:ascii="Palatino Linotype" w:hAnsi="Palatino Linotype" w:cs="Tahoma"/>
        </w:rPr>
        <w:t>)</w:t>
      </w:r>
      <w:r w:rsidR="0061484A" w:rsidRPr="0061484A">
        <w:rPr>
          <w:rFonts w:ascii="Palatino Linotype" w:hAnsi="Palatino Linotype" w:cs="Tahoma"/>
        </w:rPr>
        <w:t>,</w:t>
      </w:r>
      <w:r w:rsidR="0061484A">
        <w:rPr>
          <w:rFonts w:ascii="Palatino Linotype" w:hAnsi="Palatino Linotype" w:cs="Tahoma"/>
        </w:rPr>
        <w:t xml:space="preserve"> </w:t>
      </w:r>
      <w:r w:rsidR="009845B4">
        <w:rPr>
          <w:rFonts w:ascii="Palatino Linotype" w:hAnsi="Palatino Linotype" w:cs="Tahoma"/>
        </w:rPr>
        <w:t>lo siguiente:</w:t>
      </w:r>
    </w:p>
    <w:p w:rsidR="006C7FDF" w:rsidRDefault="006C7FDF" w:rsidP="00E826AD">
      <w:pPr>
        <w:spacing w:after="0" w:line="360" w:lineRule="auto"/>
        <w:jc w:val="both"/>
        <w:rPr>
          <w:rFonts w:ascii="Palatino Linotype" w:hAnsi="Palatino Linotype" w:cs="Tahoma"/>
        </w:rPr>
      </w:pPr>
    </w:p>
    <w:p w:rsidR="005959CA" w:rsidRPr="005959CA" w:rsidRDefault="009845B4" w:rsidP="005959CA">
      <w:pPr>
        <w:ind w:left="851" w:right="899"/>
        <w:jc w:val="both"/>
        <w:rPr>
          <w:rFonts w:ascii="Palatino Linotype" w:eastAsia="Times New Roman" w:hAnsi="Palatino Linotype" w:cs="Arial"/>
          <w:i/>
          <w:sz w:val="20"/>
          <w:szCs w:val="20"/>
          <w:lang w:eastAsia="es-ES"/>
        </w:rPr>
      </w:pPr>
      <w:r w:rsidRPr="005959CA">
        <w:rPr>
          <w:rFonts w:ascii="Palatino Linotype" w:hAnsi="Palatino Linotype" w:cs="Tahoma"/>
          <w:sz w:val="20"/>
          <w:szCs w:val="20"/>
        </w:rPr>
        <w:t>“</w:t>
      </w:r>
      <w:r w:rsidR="005959CA" w:rsidRPr="005959CA">
        <w:rPr>
          <w:rFonts w:ascii="Palatino Linotype" w:eastAsia="Times New Roman" w:hAnsi="Palatino Linotype" w:cs="Arial"/>
          <w:i/>
          <w:sz w:val="20"/>
          <w:szCs w:val="20"/>
          <w:lang w:eastAsia="es-ES"/>
        </w:rPr>
        <w:t xml:space="preserve">Mi nombre aparece en un boletín laboral del 2013 y esto me esta perjudicando para conseguir trabajo, quiero de favor borren mis datos del buscador. Gracias.” </w:t>
      </w:r>
      <w:r w:rsidR="005959CA" w:rsidRPr="005959CA">
        <w:rPr>
          <w:rFonts w:ascii="Palatino Linotype" w:eastAsia="Times New Roman" w:hAnsi="Palatino Linotype" w:cs="Times New Roman"/>
          <w:sz w:val="20"/>
          <w:szCs w:val="20"/>
          <w:lang w:eastAsia="es-ES"/>
        </w:rPr>
        <w:t>(Sic)</w:t>
      </w:r>
    </w:p>
    <w:p w:rsidR="005959CA" w:rsidRDefault="006C7FDF" w:rsidP="00B876CC">
      <w:pPr>
        <w:spacing w:before="240" w:after="240" w:line="360" w:lineRule="auto"/>
        <w:ind w:right="616"/>
        <w:jc w:val="both"/>
        <w:rPr>
          <w:rFonts w:ascii="Palatino Linotype" w:hAnsi="Palatino Linotype" w:cs="Tahoma"/>
        </w:rPr>
      </w:pPr>
      <w:r>
        <w:rPr>
          <w:rFonts w:ascii="Palatino Linotype" w:eastAsia="Times New Roman" w:hAnsi="Palatino Linotype" w:cs="Times New Roman"/>
          <w:lang w:eastAsia="es-ES"/>
        </w:rPr>
        <w:t>C</w:t>
      </w:r>
      <w:r w:rsidR="005959CA" w:rsidRPr="005959CA">
        <w:rPr>
          <w:rFonts w:ascii="Palatino Linotype" w:eastAsia="Times New Roman" w:hAnsi="Palatino Linotype" w:cs="Times New Roman"/>
          <w:lang w:eastAsia="es-ES"/>
        </w:rPr>
        <w:t>omo razones por las que se opone a</w:t>
      </w:r>
      <w:r>
        <w:rPr>
          <w:rFonts w:ascii="Palatino Linotype" w:eastAsia="Times New Roman" w:hAnsi="Palatino Linotype" w:cs="Times New Roman"/>
          <w:lang w:eastAsia="es-ES"/>
        </w:rPr>
        <w:t>l</w:t>
      </w:r>
      <w:r w:rsidR="005959CA" w:rsidRPr="005959CA">
        <w:rPr>
          <w:rFonts w:ascii="Palatino Linotype" w:eastAsia="Times New Roman" w:hAnsi="Palatino Linotype" w:cs="Times New Roman"/>
          <w:lang w:eastAsia="es-ES"/>
        </w:rPr>
        <w:t xml:space="preserve"> tratamiento</w:t>
      </w:r>
      <w:r>
        <w:rPr>
          <w:rFonts w:ascii="Palatino Linotype" w:eastAsia="Times New Roman" w:hAnsi="Palatino Linotype" w:cs="Times New Roman"/>
          <w:lang w:eastAsia="es-ES"/>
        </w:rPr>
        <w:t xml:space="preserve"> de sus datos personales, proporcionó una dirección electrónica que remite a un buscador de Internet, en donde aparece información de su persona.</w:t>
      </w:r>
    </w:p>
    <w:p w:rsidR="00786EA0" w:rsidRDefault="009845B4" w:rsidP="00E826AD">
      <w:pPr>
        <w:spacing w:after="0" w:line="360" w:lineRule="auto"/>
        <w:jc w:val="both"/>
        <w:rPr>
          <w:rFonts w:ascii="Palatino Linotype" w:hAnsi="Palatino Linotype" w:cs="Tahoma"/>
        </w:rPr>
      </w:pPr>
      <w:r>
        <w:rPr>
          <w:rFonts w:ascii="Palatino Linotype" w:hAnsi="Palatino Linotype" w:cs="Tahoma"/>
        </w:rPr>
        <w:t>Sobre el particular</w:t>
      </w:r>
      <w:r w:rsidR="005959CA">
        <w:rPr>
          <w:rFonts w:ascii="Palatino Linotype" w:hAnsi="Palatino Linotype" w:cs="Tahoma"/>
        </w:rPr>
        <w:t>,</w:t>
      </w:r>
      <w:r>
        <w:rPr>
          <w:rFonts w:ascii="Palatino Linotype" w:hAnsi="Palatino Linotype" w:cs="Tahoma"/>
        </w:rPr>
        <w:t xml:space="preserve"> </w:t>
      </w:r>
      <w:r w:rsidR="005959CA">
        <w:rPr>
          <w:rFonts w:ascii="Palatino Linotype" w:hAnsi="Palatino Linotype" w:cs="Tahoma"/>
        </w:rPr>
        <w:t xml:space="preserve">es de señalar </w:t>
      </w:r>
      <w:r>
        <w:rPr>
          <w:rFonts w:ascii="Palatino Linotype" w:hAnsi="Palatino Linotype" w:cs="Tahoma"/>
        </w:rPr>
        <w:t xml:space="preserve">que el Sujeto Obligado </w:t>
      </w:r>
      <w:r w:rsidR="005959CA">
        <w:rPr>
          <w:rFonts w:ascii="Palatino Linotype" w:hAnsi="Palatino Linotype" w:cs="Tahoma"/>
        </w:rPr>
        <w:t xml:space="preserve">no emitió respuesta ni </w:t>
      </w:r>
      <w:r w:rsidR="00EF0302">
        <w:rPr>
          <w:rFonts w:ascii="Palatino Linotype" w:hAnsi="Palatino Linotype" w:cs="Tahoma"/>
        </w:rPr>
        <w:t xml:space="preserve">manifestación alguna para conocer sobre </w:t>
      </w:r>
      <w:r w:rsidR="005959CA">
        <w:rPr>
          <w:rFonts w:ascii="Palatino Linotype" w:hAnsi="Palatino Linotype" w:cs="Tahoma"/>
        </w:rPr>
        <w:t xml:space="preserve">la </w:t>
      </w:r>
      <w:r>
        <w:rPr>
          <w:rFonts w:ascii="Palatino Linotype" w:hAnsi="Palatino Linotype" w:cs="Tahoma"/>
        </w:rPr>
        <w:t xml:space="preserve">información </w:t>
      </w:r>
      <w:r w:rsidR="005959CA">
        <w:rPr>
          <w:rFonts w:ascii="Palatino Linotype" w:hAnsi="Palatino Linotype" w:cs="Tahoma"/>
        </w:rPr>
        <w:t>solicitada</w:t>
      </w:r>
      <w:r w:rsidR="00EF0302">
        <w:rPr>
          <w:rFonts w:ascii="Palatino Linotype" w:hAnsi="Palatino Linotype" w:cs="Tahoma"/>
        </w:rPr>
        <w:t xml:space="preserve"> por el Recurrente</w:t>
      </w:r>
      <w:r w:rsidR="005959CA">
        <w:rPr>
          <w:rFonts w:ascii="Palatino Linotype" w:hAnsi="Palatino Linotype" w:cs="Tahoma"/>
        </w:rPr>
        <w:t>.</w:t>
      </w:r>
    </w:p>
    <w:p w:rsidR="001807A1" w:rsidRDefault="00786EA0" w:rsidP="00E826AD">
      <w:pPr>
        <w:spacing w:after="0" w:line="360" w:lineRule="auto"/>
        <w:jc w:val="both"/>
        <w:rPr>
          <w:rFonts w:ascii="Palatino Linotype" w:hAnsi="Palatino Linotype" w:cs="Tahoma"/>
        </w:rPr>
      </w:pPr>
      <w:r>
        <w:rPr>
          <w:rFonts w:ascii="Palatino Linotype" w:hAnsi="Palatino Linotype" w:cs="Tahoma"/>
        </w:rPr>
        <w:lastRenderedPageBreak/>
        <w:t>Al respecto,</w:t>
      </w:r>
      <w:r w:rsidR="006C7FDF">
        <w:rPr>
          <w:rFonts w:ascii="Palatino Linotype" w:hAnsi="Palatino Linotype" w:cs="Tahoma"/>
        </w:rPr>
        <w:t xml:space="preserve"> la Ponencia Resolutora analizó la petici</w:t>
      </w:r>
      <w:r w:rsidR="00C41E08">
        <w:rPr>
          <w:rFonts w:ascii="Palatino Linotype" w:hAnsi="Palatino Linotype" w:cs="Tahoma"/>
        </w:rPr>
        <w:t>ón del</w:t>
      </w:r>
      <w:r w:rsidR="006C7FDF">
        <w:rPr>
          <w:rFonts w:ascii="Palatino Linotype" w:hAnsi="Palatino Linotype" w:cs="Tahoma"/>
        </w:rPr>
        <w:t xml:space="preserve"> Recurrente para que se borraran sus datos personales del buscador de Internet, asimismo, se cercioró sobre el responsable de la publicación respecto de la cual se inconformó la particular </w:t>
      </w:r>
      <w:r w:rsidR="00C41E08">
        <w:rPr>
          <w:rFonts w:ascii="Palatino Linotype" w:hAnsi="Palatino Linotype" w:cs="Tahoma"/>
        </w:rPr>
        <w:t>y determinó</w:t>
      </w:r>
      <w:r w:rsidR="006C7FDF">
        <w:rPr>
          <w:rFonts w:ascii="Palatino Linotype" w:hAnsi="Palatino Linotype" w:cs="Tahoma"/>
        </w:rPr>
        <w:t xml:space="preserve"> de manera fundada y motivada </w:t>
      </w:r>
      <w:r w:rsidR="001807A1">
        <w:rPr>
          <w:rFonts w:ascii="Palatino Linotype" w:hAnsi="Palatino Linotype" w:cs="Tahoma"/>
        </w:rPr>
        <w:t>que</w:t>
      </w:r>
      <w:r w:rsidR="006C7FDF">
        <w:rPr>
          <w:rFonts w:ascii="Palatino Linotype" w:hAnsi="Palatino Linotype" w:cs="Tahoma"/>
        </w:rPr>
        <w:t xml:space="preserve"> se trata de un</w:t>
      </w:r>
      <w:r w:rsidR="001807A1">
        <w:rPr>
          <w:rFonts w:ascii="Palatino Linotype" w:hAnsi="Palatino Linotype" w:cs="Tahoma"/>
        </w:rPr>
        <w:t xml:space="preserve"> Sujeto Obligado </w:t>
      </w:r>
      <w:r w:rsidR="006C7FDF">
        <w:rPr>
          <w:rFonts w:ascii="Palatino Linotype" w:hAnsi="Palatino Linotype" w:cs="Tahoma"/>
        </w:rPr>
        <w:t xml:space="preserve">diferente, </w:t>
      </w:r>
      <w:r w:rsidR="001807A1">
        <w:rPr>
          <w:rFonts w:ascii="Palatino Linotype" w:hAnsi="Palatino Linotype" w:cs="Tahoma"/>
        </w:rPr>
        <w:t xml:space="preserve">por lo que el Ayuntamiento de Texcoco se encuentra imposibilitado para dar atención a la </w:t>
      </w:r>
      <w:r w:rsidR="001807A1" w:rsidRPr="001807A1">
        <w:rPr>
          <w:rFonts w:ascii="Palatino Linotype" w:hAnsi="Palatino Linotype" w:cs="Tahoma"/>
        </w:rPr>
        <w:t xml:space="preserve">solicitud de oposición al tratamiento de datos personales que se realiza en los sitios </w:t>
      </w:r>
      <w:r w:rsidR="00EF0302">
        <w:rPr>
          <w:rFonts w:ascii="Palatino Linotype" w:hAnsi="Palatino Linotype" w:cs="Tahoma"/>
        </w:rPr>
        <w:t>señalados por el Recurrente</w:t>
      </w:r>
      <w:r w:rsidR="001807A1" w:rsidRPr="001807A1">
        <w:rPr>
          <w:rFonts w:ascii="Palatino Linotype" w:hAnsi="Palatino Linotype" w:cs="Tahoma"/>
        </w:rPr>
        <w:t xml:space="preserve">, pues </w:t>
      </w:r>
      <w:r w:rsidR="00C41E08">
        <w:rPr>
          <w:rFonts w:ascii="Palatino Linotype" w:hAnsi="Palatino Linotype" w:cs="Tahoma"/>
        </w:rPr>
        <w:t xml:space="preserve">la publicación motivo de la inconformidad </w:t>
      </w:r>
      <w:r w:rsidR="001807A1" w:rsidRPr="001807A1">
        <w:rPr>
          <w:rFonts w:ascii="Palatino Linotype" w:hAnsi="Palatino Linotype" w:cs="Tahoma"/>
        </w:rPr>
        <w:t>corresponde a las Juntas de Conciliación y Arbitraje  locales</w:t>
      </w:r>
      <w:r w:rsidR="00C41E08">
        <w:rPr>
          <w:rFonts w:ascii="Palatino Linotype" w:hAnsi="Palatino Linotype" w:cs="Tahoma"/>
        </w:rPr>
        <w:t>, quienes se encargan de</w:t>
      </w:r>
      <w:r w:rsidR="001807A1" w:rsidRPr="001807A1">
        <w:rPr>
          <w:rFonts w:ascii="Palatino Linotype" w:hAnsi="Palatino Linotype" w:cs="Tahoma"/>
        </w:rPr>
        <w:t xml:space="preserve"> la autorización, elaboración y publicación de los boletines laborales y su contenido, en este sentido son </w:t>
      </w:r>
      <w:r w:rsidR="00C41E08">
        <w:rPr>
          <w:rFonts w:ascii="Palatino Linotype" w:hAnsi="Palatino Linotype" w:cs="Tahoma"/>
        </w:rPr>
        <w:t>e</w:t>
      </w:r>
      <w:r w:rsidR="001807A1" w:rsidRPr="001807A1">
        <w:rPr>
          <w:rFonts w:ascii="Palatino Linotype" w:hAnsi="Palatino Linotype" w:cs="Tahoma"/>
        </w:rPr>
        <w:t>stas últimas las responsables del tratamiento de datos personales que se realiza en dichos medios de comunicación.</w:t>
      </w:r>
    </w:p>
    <w:p w:rsidR="00786EA0" w:rsidRDefault="00786EA0" w:rsidP="00E826AD">
      <w:pPr>
        <w:spacing w:after="0" w:line="360" w:lineRule="auto"/>
        <w:jc w:val="both"/>
        <w:rPr>
          <w:rFonts w:ascii="Palatino Linotype" w:hAnsi="Palatino Linotype" w:cs="Tahoma"/>
        </w:rPr>
      </w:pPr>
    </w:p>
    <w:p w:rsidR="00CD7222" w:rsidRDefault="00C41E08" w:rsidP="001807A1">
      <w:pPr>
        <w:spacing w:after="0" w:line="360" w:lineRule="auto"/>
        <w:jc w:val="both"/>
        <w:rPr>
          <w:rFonts w:ascii="Palatino Linotype" w:hAnsi="Palatino Linotype" w:cs="Tahoma"/>
        </w:rPr>
      </w:pPr>
      <w:r>
        <w:rPr>
          <w:rFonts w:ascii="Palatino Linotype" w:hAnsi="Palatino Linotype" w:cs="Tahoma"/>
        </w:rPr>
        <w:t>Así, derivado del estudio de la Ponencia Resolutora, se determinó</w:t>
      </w:r>
      <w:r w:rsidR="00BE34DF">
        <w:rPr>
          <w:rFonts w:ascii="Palatino Linotype" w:hAnsi="Palatino Linotype" w:cs="Tahoma"/>
        </w:rPr>
        <w:t xml:space="preserve"> en </w:t>
      </w:r>
      <w:r w:rsidR="001807A1">
        <w:rPr>
          <w:rFonts w:ascii="Palatino Linotype" w:hAnsi="Palatino Linotype" w:cs="Tahoma"/>
        </w:rPr>
        <w:t>e</w:t>
      </w:r>
      <w:r w:rsidR="00BE34DF">
        <w:rPr>
          <w:rFonts w:ascii="Palatino Linotype" w:hAnsi="Palatino Linotype" w:cs="Tahoma"/>
        </w:rPr>
        <w:t>l Resolu</w:t>
      </w:r>
      <w:r w:rsidR="001807A1">
        <w:rPr>
          <w:rFonts w:ascii="Palatino Linotype" w:hAnsi="Palatino Linotype" w:cs="Tahoma"/>
        </w:rPr>
        <w:t>tivo Segundo</w:t>
      </w:r>
      <w:r>
        <w:rPr>
          <w:rFonts w:ascii="Palatino Linotype" w:hAnsi="Palatino Linotype" w:cs="Tahoma"/>
        </w:rPr>
        <w:t>,</w:t>
      </w:r>
      <w:r w:rsidR="00BE34DF">
        <w:rPr>
          <w:rFonts w:ascii="Palatino Linotype" w:hAnsi="Palatino Linotype" w:cs="Tahoma"/>
        </w:rPr>
        <w:t xml:space="preserve"> ordenar la entrega de</w:t>
      </w:r>
      <w:r>
        <w:rPr>
          <w:rFonts w:ascii="Palatino Linotype" w:hAnsi="Palatino Linotype" w:cs="Tahoma"/>
        </w:rPr>
        <w:t>l</w:t>
      </w:r>
      <w:r w:rsidR="00BE34DF">
        <w:rPr>
          <w:rFonts w:ascii="Palatino Linotype" w:hAnsi="Palatino Linotype" w:cs="Tahoma"/>
        </w:rPr>
        <w:t>:</w:t>
      </w:r>
      <w:r w:rsidR="00C239D2">
        <w:rPr>
          <w:rFonts w:ascii="Palatino Linotype" w:hAnsi="Palatino Linotype" w:cs="Tahoma"/>
        </w:rPr>
        <w:t xml:space="preserve"> </w:t>
      </w:r>
    </w:p>
    <w:p w:rsidR="00CD7222" w:rsidRDefault="00CD7222" w:rsidP="001807A1">
      <w:pPr>
        <w:spacing w:after="0" w:line="360" w:lineRule="auto"/>
        <w:jc w:val="both"/>
        <w:rPr>
          <w:rFonts w:ascii="Palatino Linotype" w:hAnsi="Palatino Linotype" w:cs="Tahoma"/>
        </w:rPr>
      </w:pPr>
    </w:p>
    <w:p w:rsidR="001807A1" w:rsidRPr="00B876CC" w:rsidRDefault="001807A1" w:rsidP="00B876CC">
      <w:pPr>
        <w:spacing w:after="0" w:line="360" w:lineRule="auto"/>
        <w:ind w:left="567" w:right="567"/>
        <w:jc w:val="both"/>
        <w:rPr>
          <w:rFonts w:ascii="Palatino Linotype" w:hAnsi="Palatino Linotype" w:cs="Tahoma"/>
          <w:bCs/>
          <w:i/>
          <w:sz w:val="20"/>
          <w:szCs w:val="20"/>
        </w:rPr>
      </w:pPr>
      <w:r w:rsidRPr="00B876CC">
        <w:rPr>
          <w:rFonts w:ascii="Palatino Linotype" w:hAnsi="Palatino Linotype" w:cs="Tahoma"/>
          <w:i/>
          <w:sz w:val="20"/>
          <w:szCs w:val="20"/>
        </w:rPr>
        <w:t>Acuerdo de Incompetencia debidamente fundado y motivado, en el que exprese las razones, motivos y circunstancias de hecho y derecho por virtud de las cuales justifique su incompetencia para atender la solicitud número 00001/TEXCOCO/OD/2018.</w:t>
      </w:r>
    </w:p>
    <w:p w:rsidR="009845B4" w:rsidRDefault="009845B4" w:rsidP="00E826AD">
      <w:pPr>
        <w:spacing w:after="0" w:line="360" w:lineRule="auto"/>
        <w:jc w:val="both"/>
        <w:rPr>
          <w:rFonts w:ascii="Palatino Linotype" w:hAnsi="Palatino Linotype" w:cs="Tahoma"/>
        </w:rPr>
      </w:pPr>
    </w:p>
    <w:p w:rsidR="009E0861"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ese sentido, indudablemente coincido con los argumentos, el estudio y la exhaustividad seguida por </w:t>
      </w:r>
      <w:r w:rsidR="00962B86" w:rsidRPr="0086155F">
        <w:rPr>
          <w:rFonts w:ascii="Palatino Linotype" w:hAnsi="Palatino Linotype" w:cs="Tahoma"/>
        </w:rPr>
        <w:t>e</w:t>
      </w:r>
      <w:r w:rsidRPr="0086155F">
        <w:rPr>
          <w:rFonts w:ascii="Palatino Linotype" w:hAnsi="Palatino Linotype" w:cs="Tahoma"/>
        </w:rPr>
        <w:t>l Comisionad</w:t>
      </w:r>
      <w:r w:rsidR="00962B86" w:rsidRPr="0086155F">
        <w:rPr>
          <w:rFonts w:ascii="Palatino Linotype" w:hAnsi="Palatino Linotype" w:cs="Tahoma"/>
        </w:rPr>
        <w:t>o</w:t>
      </w:r>
      <w:r w:rsidRPr="0086155F">
        <w:rPr>
          <w:rFonts w:ascii="Palatino Linotype" w:hAnsi="Palatino Linotype" w:cs="Tahoma"/>
        </w:rPr>
        <w:t xml:space="preserve"> Ponente, que permiten dilucidar con claridad que el </w:t>
      </w:r>
      <w:r w:rsidR="009039FE" w:rsidRPr="0086155F">
        <w:rPr>
          <w:rFonts w:ascii="Palatino Linotype" w:hAnsi="Palatino Linotype" w:cs="Tahoma"/>
        </w:rPr>
        <w:t>Sujeto Obligado</w:t>
      </w:r>
      <w:r w:rsidRPr="0086155F">
        <w:rPr>
          <w:rFonts w:ascii="Palatino Linotype" w:hAnsi="Palatino Linotype" w:cs="Tahoma"/>
        </w:rPr>
        <w:t xml:space="preserve"> carece de atribuciones y/o competencias para </w:t>
      </w:r>
      <w:r w:rsidR="00C41E08">
        <w:rPr>
          <w:rFonts w:ascii="Palatino Linotype" w:hAnsi="Palatino Linotype" w:cs="Tahoma"/>
        </w:rPr>
        <w:t xml:space="preserve">garantizar la oposición al tratamiento de los datos personales materia de la Resolución; </w:t>
      </w:r>
      <w:r w:rsidRPr="0086155F">
        <w:rPr>
          <w:rFonts w:ascii="Palatino Linotype" w:hAnsi="Palatino Linotype" w:cs="Tahoma"/>
        </w:rPr>
        <w:t>sin embargo</w:t>
      </w:r>
      <w:r w:rsidR="0010688C" w:rsidRPr="0086155F">
        <w:rPr>
          <w:rFonts w:ascii="Palatino Linotype" w:hAnsi="Palatino Linotype" w:cs="Tahoma"/>
        </w:rPr>
        <w:t>,</w:t>
      </w:r>
      <w:r w:rsidRPr="0086155F">
        <w:rPr>
          <w:rFonts w:ascii="Palatino Linotype" w:hAnsi="Palatino Linotype" w:cs="Tahoma"/>
        </w:rPr>
        <w:t xml:space="preserve"> difiero en la instrucción conten</w:t>
      </w:r>
      <w:r w:rsidR="0010688C" w:rsidRPr="0086155F">
        <w:rPr>
          <w:rFonts w:ascii="Palatino Linotype" w:hAnsi="Palatino Linotype" w:cs="Tahoma"/>
        </w:rPr>
        <w:t>ida</w:t>
      </w:r>
      <w:r w:rsidRPr="0086155F">
        <w:rPr>
          <w:rFonts w:ascii="Palatino Linotype" w:hAnsi="Palatino Linotype" w:cs="Tahoma"/>
        </w:rPr>
        <w:t xml:space="preserve"> en</w:t>
      </w:r>
      <w:r w:rsidR="00246FAF" w:rsidRPr="0086155F">
        <w:rPr>
          <w:rFonts w:ascii="Palatino Linotype" w:hAnsi="Palatino Linotype" w:cs="Tahoma"/>
        </w:rPr>
        <w:t xml:space="preserve"> </w:t>
      </w:r>
      <w:r w:rsidRPr="0086155F">
        <w:rPr>
          <w:rFonts w:ascii="Palatino Linotype" w:hAnsi="Palatino Linotype" w:cs="Tahoma"/>
        </w:rPr>
        <w:t xml:space="preserve">la </w:t>
      </w:r>
      <w:r w:rsidR="0010688C" w:rsidRPr="0086155F">
        <w:rPr>
          <w:rFonts w:ascii="Palatino Linotype" w:hAnsi="Palatino Linotype" w:cs="Tahoma"/>
        </w:rPr>
        <w:t>R</w:t>
      </w:r>
      <w:r w:rsidRPr="0086155F">
        <w:rPr>
          <w:rFonts w:ascii="Palatino Linotype" w:hAnsi="Palatino Linotype" w:cs="Tahoma"/>
        </w:rPr>
        <w:t>esolución que nos atañe, pues desde mi óptica, ordenar al Comité de Transparencia</w:t>
      </w:r>
      <w:r w:rsidR="0010688C" w:rsidRPr="0086155F">
        <w:rPr>
          <w:rFonts w:ascii="Palatino Linotype" w:hAnsi="Palatino Linotype" w:cs="Tahoma"/>
        </w:rPr>
        <w:t xml:space="preserve"> del </w:t>
      </w:r>
      <w:r w:rsidR="009039FE" w:rsidRPr="0086155F">
        <w:rPr>
          <w:rFonts w:ascii="Palatino Linotype" w:hAnsi="Palatino Linotype" w:cs="Tahoma"/>
        </w:rPr>
        <w:t>Sujeto Obligado</w:t>
      </w:r>
      <w:r w:rsidR="0010688C" w:rsidRPr="0086155F">
        <w:rPr>
          <w:rFonts w:ascii="Palatino Linotype" w:hAnsi="Palatino Linotype" w:cs="Tahoma"/>
        </w:rPr>
        <w:t xml:space="preserve"> que sesione para que </w:t>
      </w:r>
      <w:r w:rsidRPr="0086155F">
        <w:rPr>
          <w:rFonts w:ascii="Palatino Linotype" w:hAnsi="Palatino Linotype" w:cs="Tahoma"/>
        </w:rPr>
        <w:t>emit</w:t>
      </w:r>
      <w:r w:rsidR="00962B86" w:rsidRPr="0086155F">
        <w:rPr>
          <w:rFonts w:ascii="Palatino Linotype" w:hAnsi="Palatino Linotype" w:cs="Tahoma"/>
        </w:rPr>
        <w:t>a un Acuerdo</w:t>
      </w:r>
      <w:r w:rsidRPr="0086155F">
        <w:rPr>
          <w:rFonts w:ascii="Palatino Linotype" w:hAnsi="Palatino Linotype" w:cs="Tahoma"/>
        </w:rPr>
        <w:t xml:space="preserve"> en </w:t>
      </w:r>
      <w:r w:rsidR="00962B86" w:rsidRPr="0086155F">
        <w:rPr>
          <w:rFonts w:ascii="Palatino Linotype" w:hAnsi="Palatino Linotype" w:cs="Tahoma"/>
        </w:rPr>
        <w:t>e</w:t>
      </w:r>
      <w:r w:rsidRPr="0086155F">
        <w:rPr>
          <w:rFonts w:ascii="Palatino Linotype" w:hAnsi="Palatino Linotype" w:cs="Tahoma"/>
        </w:rPr>
        <w:t>l que confirme la</w:t>
      </w:r>
      <w:r w:rsidR="009F6E4A" w:rsidRPr="0086155F">
        <w:rPr>
          <w:rFonts w:ascii="Palatino Linotype" w:hAnsi="Palatino Linotype" w:cs="Tahoma"/>
        </w:rPr>
        <w:t xml:space="preserve"> declaratoria</w:t>
      </w:r>
      <w:r w:rsidRPr="0086155F">
        <w:rPr>
          <w:rFonts w:ascii="Palatino Linotype" w:hAnsi="Palatino Linotype" w:cs="Tahoma"/>
        </w:rPr>
        <w:t xml:space="preserve"> </w:t>
      </w:r>
      <w:r w:rsidR="009F6E4A" w:rsidRPr="0086155F">
        <w:rPr>
          <w:rFonts w:ascii="Palatino Linotype" w:hAnsi="Palatino Linotype" w:cs="Tahoma"/>
        </w:rPr>
        <w:t xml:space="preserve">de </w:t>
      </w:r>
      <w:r w:rsidRPr="0086155F">
        <w:rPr>
          <w:rFonts w:ascii="Palatino Linotype" w:hAnsi="Palatino Linotype" w:cs="Tahoma"/>
        </w:rPr>
        <w:t xml:space="preserve">incompetencia para </w:t>
      </w:r>
      <w:r w:rsidR="00C41E08">
        <w:rPr>
          <w:rFonts w:ascii="Palatino Linotype" w:hAnsi="Palatino Linotype" w:cs="Tahoma"/>
        </w:rPr>
        <w:t>garantizar el derecho del Recurrente</w:t>
      </w:r>
      <w:r w:rsidRPr="0086155F">
        <w:rPr>
          <w:rFonts w:ascii="Palatino Linotype" w:hAnsi="Palatino Linotype" w:cs="Tahoma"/>
        </w:rPr>
        <w:t xml:space="preserve">, </w:t>
      </w:r>
      <w:r w:rsidRPr="0086155F">
        <w:rPr>
          <w:rFonts w:ascii="Palatino Linotype" w:hAnsi="Palatino Linotype" w:cs="Tahoma"/>
        </w:rPr>
        <w:lastRenderedPageBreak/>
        <w:t xml:space="preserve">dilata los plazos del procedimiento, </w:t>
      </w:r>
      <w:r w:rsidR="00526DBD" w:rsidRPr="0086155F">
        <w:rPr>
          <w:rFonts w:ascii="Palatino Linotype" w:hAnsi="Palatino Linotype" w:cs="Tahoma"/>
        </w:rPr>
        <w:t xml:space="preserve">genera una carga adicional al </w:t>
      </w:r>
      <w:r w:rsidR="009039FE" w:rsidRPr="0086155F">
        <w:rPr>
          <w:rFonts w:ascii="Palatino Linotype" w:hAnsi="Palatino Linotype" w:cs="Tahoma"/>
        </w:rPr>
        <w:t>Sujeto Obligado</w:t>
      </w:r>
      <w:r w:rsidRPr="0086155F">
        <w:rPr>
          <w:rFonts w:ascii="Palatino Linotype" w:hAnsi="Palatino Linotype" w:cs="Tahoma"/>
        </w:rPr>
        <w:t xml:space="preserve"> y </w:t>
      </w:r>
      <w:r w:rsidR="00526DBD" w:rsidRPr="0086155F">
        <w:rPr>
          <w:rFonts w:ascii="Palatino Linotype" w:hAnsi="Palatino Linotype" w:cs="Tahoma"/>
        </w:rPr>
        <w:t>ello no</w:t>
      </w:r>
      <w:r w:rsidR="008F3B5A" w:rsidRPr="0086155F">
        <w:rPr>
          <w:rFonts w:ascii="Palatino Linotype" w:hAnsi="Palatino Linotype" w:cs="Tahoma"/>
        </w:rPr>
        <w:t xml:space="preserve"> </w:t>
      </w:r>
      <w:r w:rsidR="00526DBD" w:rsidRPr="0086155F">
        <w:rPr>
          <w:rFonts w:ascii="Palatino Linotype" w:hAnsi="Palatino Linotype" w:cs="Tahoma"/>
        </w:rPr>
        <w:t>m</w:t>
      </w:r>
      <w:r w:rsidR="00E656C1" w:rsidRPr="0086155F">
        <w:rPr>
          <w:rFonts w:ascii="Palatino Linotype" w:hAnsi="Palatino Linotype" w:cs="Tahoma"/>
        </w:rPr>
        <w:t>o</w:t>
      </w:r>
      <w:r w:rsidR="00526DBD" w:rsidRPr="0086155F">
        <w:rPr>
          <w:rFonts w:ascii="Palatino Linotype" w:hAnsi="Palatino Linotype" w:cs="Tahoma"/>
        </w:rPr>
        <w:t xml:space="preserve">difica el hecho de que el </w:t>
      </w:r>
      <w:r w:rsidR="00C41E08">
        <w:rPr>
          <w:rFonts w:ascii="Palatino Linotype" w:hAnsi="Palatino Linotype" w:cs="Tahoma"/>
        </w:rPr>
        <w:t>R</w:t>
      </w:r>
      <w:r w:rsidR="00C41E08" w:rsidRPr="0086155F">
        <w:rPr>
          <w:rFonts w:ascii="Palatino Linotype" w:hAnsi="Palatino Linotype" w:cs="Tahoma"/>
        </w:rPr>
        <w:t xml:space="preserve">ecurrente </w:t>
      </w:r>
      <w:r w:rsidR="00526DBD" w:rsidRPr="0086155F">
        <w:rPr>
          <w:rFonts w:ascii="Palatino Linotype" w:hAnsi="Palatino Linotype" w:cs="Tahoma"/>
        </w:rPr>
        <w:t xml:space="preserve">no obtendrá </w:t>
      </w:r>
      <w:r w:rsidR="00C41E08">
        <w:rPr>
          <w:rFonts w:ascii="Palatino Linotype" w:hAnsi="Palatino Linotype" w:cs="Tahoma"/>
        </w:rPr>
        <w:t>la cancelación de su dato personal</w:t>
      </w:r>
      <w:r w:rsidR="00526DBD" w:rsidRPr="0086155F">
        <w:rPr>
          <w:rFonts w:ascii="Palatino Linotype" w:hAnsi="Palatino Linotype" w:cs="Tahoma"/>
        </w:rPr>
        <w:t>.</w:t>
      </w:r>
    </w:p>
    <w:p w:rsidR="00DA51FB" w:rsidRDefault="00DA51FB" w:rsidP="00E826AD">
      <w:pPr>
        <w:spacing w:after="0" w:line="360" w:lineRule="auto"/>
        <w:jc w:val="both"/>
        <w:rPr>
          <w:rFonts w:ascii="Palatino Linotype" w:hAnsi="Palatino Linotype" w:cs="Tahoma"/>
        </w:rPr>
      </w:pPr>
    </w:p>
    <w:p w:rsidR="009E0861" w:rsidRPr="0086155F" w:rsidRDefault="00DA51FB" w:rsidP="00E826AD">
      <w:pPr>
        <w:spacing w:after="0" w:line="360" w:lineRule="auto"/>
        <w:jc w:val="both"/>
        <w:rPr>
          <w:rFonts w:ascii="Palatino Linotype" w:hAnsi="Palatino Linotype" w:cs="Tahoma"/>
        </w:rPr>
      </w:pPr>
      <w:r>
        <w:rPr>
          <w:rFonts w:ascii="Palatino Linotype" w:hAnsi="Palatino Linotype" w:cs="Tahoma"/>
        </w:rPr>
        <w:t xml:space="preserve">Es de tener presente que al tratarse de una impugnación en materia de protección de datos personales, los cuales se garantizan de conformidad con lo señalado en la Ley de Protección de Datos Personales en Posesión de Sujetos Obligados del Estado de México y Municipios, el artículo 127 de la misma, dispone que a falta de disposición expresa en la esta, el recurso de revisión será tramitado de conformidad con lo dispuesto en la Ley de Transparencia y Acceso a la Información Pública del Estado de México y Municipios, por lo que es procedente destacar que en términos de la misma, </w:t>
      </w:r>
      <w:r w:rsidR="009E0861" w:rsidRPr="0086155F">
        <w:rPr>
          <w:rFonts w:ascii="Palatino Linotype" w:hAnsi="Palatino Linotype" w:cs="Tahoma"/>
        </w:rPr>
        <w:t>instruir al Comité de Transparencia para que sesione y emita una resolución confirmando una incompetencia que ya fue declarada y an</w:t>
      </w:r>
      <w:r w:rsidR="00E656C1" w:rsidRPr="0086155F">
        <w:rPr>
          <w:rFonts w:ascii="Palatino Linotype" w:hAnsi="Palatino Linotype" w:cs="Tahoma"/>
        </w:rPr>
        <w:t>alizada exhaustivamente por el Pleno de este</w:t>
      </w:r>
      <w:r w:rsidR="009E0861" w:rsidRPr="0086155F">
        <w:rPr>
          <w:rFonts w:ascii="Palatino Linotype" w:hAnsi="Palatino Linotype" w:cs="Tahoma"/>
        </w:rPr>
        <w:t xml:space="preserve"> Instituto, se aparta de los principios de sencillez y rapidez establecidos </w:t>
      </w:r>
      <w:r>
        <w:rPr>
          <w:rFonts w:ascii="Palatino Linotype" w:hAnsi="Palatino Linotype" w:cs="Tahoma"/>
        </w:rPr>
        <w:t xml:space="preserve">en los </w:t>
      </w:r>
      <w:r w:rsidR="00E656C1" w:rsidRPr="0086155F">
        <w:rPr>
          <w:rFonts w:ascii="Palatino Linotype" w:hAnsi="Palatino Linotype" w:cs="Tahoma"/>
        </w:rPr>
        <w:t>artículos 2°, fracciones II y III, 21 y 150</w:t>
      </w:r>
      <w:r>
        <w:rPr>
          <w:rFonts w:ascii="Palatino Linotype" w:hAnsi="Palatino Linotype" w:cs="Tahoma"/>
        </w:rPr>
        <w:t xml:space="preserve"> de la Ley en comento</w:t>
      </w:r>
      <w:r w:rsidR="00E656C1"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Con la finalidad de demostrar lo anterior, conviene traer a colación el Titulo Segundo, Capítulo II, de la Ley de Transparencia y Acceso a la Información Pública del Estado de México y Municipios, que lleva por título “De los Comités de Transparencia”, el cual indica</w:t>
      </w:r>
      <w:r w:rsidR="00CD4339" w:rsidRPr="0086155F">
        <w:rPr>
          <w:rFonts w:ascii="Palatino Linotype" w:hAnsi="Palatino Linotype" w:cs="Tahoma"/>
        </w:rPr>
        <w:t xml:space="preserve"> en sus artículos 47 y 49, fracción II</w:t>
      </w:r>
      <w:r w:rsidRPr="0086155F">
        <w:rPr>
          <w:rFonts w:ascii="Palatino Linotype" w:hAnsi="Palatino Linotype" w:cs="Tahoma"/>
        </w:rPr>
        <w:t>, esencialmente, lo siguiente:</w:t>
      </w:r>
    </w:p>
    <w:p w:rsidR="009E0861" w:rsidRPr="0086155F" w:rsidRDefault="009E0861" w:rsidP="00E826AD">
      <w:pPr>
        <w:spacing w:after="0" w:line="360" w:lineRule="auto"/>
        <w:jc w:val="both"/>
        <w:rPr>
          <w:rFonts w:ascii="Palatino Linotype" w:hAnsi="Palatino Linotype" w:cs="Tahoma"/>
        </w:rPr>
      </w:pPr>
    </w:p>
    <w:p w:rsidR="009E0861" w:rsidRDefault="009E0861" w:rsidP="00E826AD">
      <w:pPr>
        <w:pStyle w:val="Prrafodelista"/>
        <w:numPr>
          <w:ilvl w:val="0"/>
          <w:numId w:val="11"/>
        </w:numPr>
        <w:spacing w:after="0" w:line="360" w:lineRule="auto"/>
        <w:jc w:val="both"/>
        <w:rPr>
          <w:rFonts w:ascii="Palatino Linotype" w:hAnsi="Palatino Linotype" w:cs="Tahoma"/>
        </w:rPr>
      </w:pPr>
      <w:r w:rsidRPr="0086155F">
        <w:rPr>
          <w:rFonts w:ascii="Palatino Linotype" w:hAnsi="Palatino Linotype" w:cs="Tahoma"/>
        </w:rPr>
        <w:t xml:space="preserve">Que el Comité de Transparencia es la autoridad máxima al interior del </w:t>
      </w:r>
      <w:r w:rsidR="009039FE" w:rsidRPr="0086155F">
        <w:rPr>
          <w:rFonts w:ascii="Palatino Linotype" w:hAnsi="Palatino Linotype" w:cs="Tahoma"/>
        </w:rPr>
        <w:t>Sujeto Obligado</w:t>
      </w:r>
      <w:r w:rsidRPr="0086155F">
        <w:rPr>
          <w:rFonts w:ascii="Palatino Linotype" w:hAnsi="Palatino Linotype" w:cs="Tahoma"/>
        </w:rPr>
        <w:t xml:space="preserve"> en materia del derecho de acceso a la información;</w:t>
      </w:r>
    </w:p>
    <w:p w:rsidR="00CD7222" w:rsidRPr="0086155F" w:rsidRDefault="00CD7222" w:rsidP="00B876CC">
      <w:pPr>
        <w:pStyle w:val="Prrafodelista"/>
        <w:spacing w:after="0" w:line="360" w:lineRule="auto"/>
        <w:jc w:val="both"/>
        <w:rPr>
          <w:rFonts w:ascii="Palatino Linotype" w:hAnsi="Palatino Linotype" w:cs="Tahoma"/>
        </w:rPr>
      </w:pPr>
    </w:p>
    <w:p w:rsidR="009E0861" w:rsidRPr="0086155F" w:rsidRDefault="009E0861" w:rsidP="00E826AD">
      <w:pPr>
        <w:pStyle w:val="Prrafodelista"/>
        <w:numPr>
          <w:ilvl w:val="0"/>
          <w:numId w:val="11"/>
        </w:numPr>
        <w:spacing w:after="0" w:line="360" w:lineRule="auto"/>
        <w:jc w:val="both"/>
        <w:rPr>
          <w:rFonts w:ascii="Palatino Linotype" w:hAnsi="Palatino Linotype" w:cs="Tahoma"/>
          <w:b/>
        </w:rPr>
      </w:pPr>
      <w:r w:rsidRPr="0086155F">
        <w:rPr>
          <w:rFonts w:ascii="Palatino Linotype" w:hAnsi="Palatino Linotype" w:cs="Tahoma"/>
        </w:rPr>
        <w:t xml:space="preserve">Que los Comités de Transparencia </w:t>
      </w:r>
      <w:r w:rsidRPr="0086155F">
        <w:rPr>
          <w:rFonts w:ascii="Palatino Linotype" w:hAnsi="Palatino Linotype" w:cs="Tahoma"/>
          <w:u w:val="single"/>
        </w:rPr>
        <w:t>cuentan con atribuciones para confirmar, modificar o revocar las determinaciones que en materia</w:t>
      </w:r>
      <w:r w:rsidRPr="0086155F">
        <w:rPr>
          <w:rFonts w:ascii="Palatino Linotype" w:hAnsi="Palatino Linotype" w:cs="Tahoma"/>
        </w:rPr>
        <w:t xml:space="preserve"> de</w:t>
      </w:r>
      <w:r w:rsidR="00BF1384" w:rsidRPr="0086155F">
        <w:rPr>
          <w:rFonts w:ascii="Palatino Linotype" w:hAnsi="Palatino Linotype" w:cs="Tahoma"/>
        </w:rPr>
        <w:t xml:space="preserve"> </w:t>
      </w:r>
      <w:r w:rsidRPr="0086155F">
        <w:rPr>
          <w:rFonts w:ascii="Palatino Linotype" w:hAnsi="Palatino Linotype" w:cs="Tahoma"/>
        </w:rPr>
        <w:t xml:space="preserve">ampliación del plazo de </w:t>
      </w:r>
      <w:r w:rsidRPr="0086155F">
        <w:rPr>
          <w:rFonts w:ascii="Palatino Linotype" w:hAnsi="Palatino Linotype" w:cs="Tahoma"/>
        </w:rPr>
        <w:lastRenderedPageBreak/>
        <w:t>respuesta, clasificación de la información y declaración de inexistencia</w:t>
      </w:r>
      <w:r w:rsidR="008F3B5A" w:rsidRPr="0086155F">
        <w:rPr>
          <w:rFonts w:ascii="Palatino Linotype" w:hAnsi="Palatino Linotype" w:cs="Tahoma"/>
        </w:rPr>
        <w:t xml:space="preserve"> </w:t>
      </w:r>
      <w:r w:rsidRPr="0086155F">
        <w:rPr>
          <w:rFonts w:ascii="Palatino Linotype" w:hAnsi="Palatino Linotype" w:cs="Tahoma"/>
        </w:rPr>
        <w:t xml:space="preserve">o </w:t>
      </w:r>
      <w:r w:rsidRPr="0086155F">
        <w:rPr>
          <w:rFonts w:ascii="Palatino Linotype" w:hAnsi="Palatino Linotype" w:cs="Tahoma"/>
          <w:u w:val="single"/>
        </w:rPr>
        <w:t>de incompetencia realicen los titulares de las áreas de los sujetos obligados</w:t>
      </w:r>
      <w:r w:rsidR="00447F6F" w:rsidRPr="0086155F">
        <w:rPr>
          <w:rFonts w:ascii="Palatino Linotype" w:hAnsi="Palatino Linotype" w:cs="Tahoma"/>
        </w:rPr>
        <w:t>.</w:t>
      </w:r>
    </w:p>
    <w:p w:rsidR="00447F6F" w:rsidRPr="0086155F" w:rsidRDefault="00447F6F" w:rsidP="00E826AD">
      <w:pPr>
        <w:pStyle w:val="Prrafodelista"/>
        <w:spacing w:line="360" w:lineRule="auto"/>
        <w:rPr>
          <w:rFonts w:ascii="Palatino Linotype" w:hAnsi="Palatino Linotype" w:cs="Tahoma"/>
          <w:b/>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de lo anterior se colige que el Comité de Transparencia es la máxima autoridad en materia del derecho de acceso a la información al interior de los sujetos obligados y que cuenta con atribuciones para </w:t>
      </w:r>
      <w:r w:rsidRPr="0086155F">
        <w:rPr>
          <w:rFonts w:ascii="Palatino Linotype" w:hAnsi="Palatino Linotype" w:cs="Tahoma"/>
          <w:u w:val="single"/>
        </w:rPr>
        <w:t>confirmar, modificar o revocar</w:t>
      </w:r>
      <w:r w:rsidRPr="0086155F">
        <w:rPr>
          <w:rFonts w:ascii="Palatino Linotype" w:hAnsi="Palatino Linotype" w:cs="Tahoma"/>
        </w:rPr>
        <w:t xml:space="preserve"> las </w:t>
      </w:r>
      <w:r w:rsidRPr="0086155F">
        <w:rPr>
          <w:rFonts w:ascii="Palatino Linotype" w:hAnsi="Palatino Linotype" w:cs="Tahoma"/>
          <w:u w:val="single"/>
        </w:rPr>
        <w:t>determinaciones</w:t>
      </w:r>
      <w:r w:rsidRPr="0086155F">
        <w:rPr>
          <w:rFonts w:ascii="Palatino Linotype" w:hAnsi="Palatino Linotype" w:cs="Tahoma"/>
        </w:rPr>
        <w:t xml:space="preserve"> que en materia de ampliación del plazo de respuesta, clasificación de la información y declaración de inexistencia o </w:t>
      </w:r>
      <w:r w:rsidRPr="0086155F">
        <w:rPr>
          <w:rFonts w:ascii="Palatino Linotype" w:hAnsi="Palatino Linotype" w:cs="Tahoma"/>
          <w:u w:val="single"/>
        </w:rPr>
        <w:t>de incompetencia</w:t>
      </w:r>
      <w:r w:rsidRPr="0086155F">
        <w:rPr>
          <w:rFonts w:ascii="Palatino Linotype" w:hAnsi="Palatino Linotype" w:cs="Tahoma"/>
        </w:rPr>
        <w:t xml:space="preserve"> realicen los titulares de las áreas de los sujetos obligados.</w:t>
      </w:r>
    </w:p>
    <w:p w:rsidR="009E0861" w:rsidRPr="0086155F" w:rsidRDefault="009E0861" w:rsidP="00E826AD">
      <w:pPr>
        <w:spacing w:after="0" w:line="360" w:lineRule="auto"/>
        <w:jc w:val="both"/>
        <w:rPr>
          <w:rFonts w:ascii="Palatino Linotype" w:hAnsi="Palatino Linotype" w:cs="Tahoma"/>
        </w:rPr>
      </w:pPr>
    </w:p>
    <w:p w:rsidR="0047538D" w:rsidRPr="007F1744" w:rsidRDefault="009E0861" w:rsidP="00E826AD">
      <w:pPr>
        <w:spacing w:after="0" w:line="360" w:lineRule="auto"/>
        <w:jc w:val="both"/>
        <w:rPr>
          <w:rFonts w:ascii="Palatino Linotype" w:hAnsi="Palatino Linotype" w:cs="Tahoma"/>
        </w:rPr>
      </w:pPr>
      <w:r w:rsidRPr="0086155F">
        <w:rPr>
          <w:rFonts w:ascii="Palatino Linotype" w:hAnsi="Palatino Linotype" w:cs="Tahoma"/>
        </w:rPr>
        <w:t>Por otro lado, el Título Séptimo, Capítulo I, de la Ley de Transparencia y Acceso a la Información Pública del Estado de México y Municipios, que lleva por título “Del Procedimiento de Acceso a la Información Pública”, señala lo siguiente:</w:t>
      </w:r>
    </w:p>
    <w:p w:rsidR="0047538D" w:rsidRPr="0086155F" w:rsidRDefault="0047538D" w:rsidP="00E826AD">
      <w:pPr>
        <w:pStyle w:val="Prrafodelista"/>
        <w:spacing w:after="0" w:line="360" w:lineRule="auto"/>
        <w:jc w:val="both"/>
        <w:rPr>
          <w:rFonts w:ascii="Palatino Linotype" w:hAnsi="Palatino Linotype" w:cs="Tahoma"/>
          <w:b/>
        </w:rPr>
      </w:pPr>
    </w:p>
    <w:p w:rsidR="009E0861" w:rsidRDefault="009E0861" w:rsidP="00E826AD">
      <w:pPr>
        <w:pStyle w:val="Prrafodelista"/>
        <w:numPr>
          <w:ilvl w:val="0"/>
          <w:numId w:val="12"/>
        </w:numPr>
        <w:spacing w:after="0" w:line="360" w:lineRule="auto"/>
        <w:jc w:val="both"/>
        <w:rPr>
          <w:rFonts w:ascii="Palatino Linotype" w:hAnsi="Palatino Linotype" w:cs="Tahoma"/>
          <w:b/>
        </w:rPr>
      </w:pPr>
      <w:r w:rsidRPr="0086155F">
        <w:rPr>
          <w:rFonts w:ascii="Palatino Linotype" w:hAnsi="Palatino Linotype" w:cs="Tahoma"/>
        </w:rPr>
        <w:t xml:space="preserve">Que, cuando </w:t>
      </w:r>
      <w:r w:rsidRPr="0086155F">
        <w:rPr>
          <w:rFonts w:ascii="Palatino Linotype" w:hAnsi="Palatino Linotype" w:cs="Tahoma"/>
          <w:b/>
        </w:rPr>
        <w:t>las unidades de transparencia determinen la notoria incompetencia por parte de los sujetos obligados,</w:t>
      </w:r>
      <w:r w:rsidRPr="0086155F">
        <w:rPr>
          <w:rFonts w:ascii="Palatino Linotype" w:hAnsi="Palatino Linotype" w:cs="Tahoma"/>
        </w:rPr>
        <w:t xml:space="preserve"> dentro del ámbito de aplicación, para atender la solicitud de acceso a la información, </w:t>
      </w:r>
      <w:r w:rsidRPr="0086155F">
        <w:rPr>
          <w:rFonts w:ascii="Palatino Linotype" w:hAnsi="Palatino Linotype" w:cs="Tahoma"/>
          <w:b/>
        </w:rPr>
        <w:t>deberán comunicarlo al solicitante;</w:t>
      </w:r>
    </w:p>
    <w:p w:rsidR="00CD7222" w:rsidRPr="0086155F" w:rsidRDefault="00CD7222" w:rsidP="00B876CC">
      <w:pPr>
        <w:pStyle w:val="Prrafodelista"/>
        <w:spacing w:after="0" w:line="360" w:lineRule="auto"/>
        <w:jc w:val="both"/>
        <w:rPr>
          <w:rFonts w:ascii="Palatino Linotype" w:hAnsi="Palatino Linotype" w:cs="Tahoma"/>
          <w:b/>
        </w:rPr>
      </w:pPr>
    </w:p>
    <w:p w:rsidR="009E0861" w:rsidRDefault="009E0861" w:rsidP="00E826AD">
      <w:pPr>
        <w:pStyle w:val="Prrafodelista"/>
        <w:numPr>
          <w:ilvl w:val="0"/>
          <w:numId w:val="12"/>
        </w:numPr>
        <w:spacing w:after="0" w:line="360" w:lineRule="auto"/>
        <w:jc w:val="both"/>
        <w:rPr>
          <w:rFonts w:ascii="Palatino Linotype" w:hAnsi="Palatino Linotype" w:cs="Tahoma"/>
        </w:rPr>
      </w:pPr>
      <w:r w:rsidRPr="0086155F">
        <w:rPr>
          <w:rFonts w:ascii="Palatino Linotype" w:hAnsi="Palatino Linotype" w:cs="Tahoma"/>
        </w:rPr>
        <w:t xml:space="preserve">Que, cuando los sujetos obligados consideren que los documentos o la información deben ser clasificados, </w:t>
      </w:r>
      <w:r w:rsidRPr="0086155F">
        <w:rPr>
          <w:rFonts w:ascii="Palatino Linotype" w:hAnsi="Palatino Linotype" w:cs="Tahoma"/>
          <w:u w:val="single"/>
        </w:rPr>
        <w:t>el Comité de Transparencia deberá resolver para confirmar, modificar o revocar la clasificación</w:t>
      </w:r>
      <w:r w:rsidRPr="0086155F">
        <w:rPr>
          <w:rFonts w:ascii="Palatino Linotype" w:hAnsi="Palatino Linotype" w:cs="Tahoma"/>
        </w:rPr>
        <w:t>, notificando dicha resolución al solicitante; y,</w:t>
      </w:r>
    </w:p>
    <w:p w:rsidR="00CD7222" w:rsidRPr="00B876CC" w:rsidRDefault="00CD7222" w:rsidP="00B876CC">
      <w:pPr>
        <w:pStyle w:val="Prrafodelista"/>
        <w:rPr>
          <w:rFonts w:ascii="Palatino Linotype" w:hAnsi="Palatino Linotype" w:cs="Tahoma"/>
        </w:rPr>
      </w:pPr>
    </w:p>
    <w:p w:rsidR="009E0861" w:rsidRPr="0086155F" w:rsidRDefault="009E0861" w:rsidP="00E826AD">
      <w:pPr>
        <w:pStyle w:val="Prrafodelista"/>
        <w:numPr>
          <w:ilvl w:val="0"/>
          <w:numId w:val="12"/>
        </w:numPr>
        <w:spacing w:after="0" w:line="360" w:lineRule="auto"/>
        <w:jc w:val="both"/>
        <w:rPr>
          <w:rFonts w:ascii="Palatino Linotype" w:hAnsi="Palatino Linotype" w:cs="Tahoma"/>
        </w:rPr>
      </w:pPr>
      <w:r w:rsidRPr="0086155F">
        <w:rPr>
          <w:rFonts w:ascii="Palatino Linotype" w:hAnsi="Palatino Linotype" w:cs="Tahoma"/>
        </w:rPr>
        <w:t>Que</w:t>
      </w:r>
      <w:r w:rsidR="00097988" w:rsidRPr="0086155F">
        <w:rPr>
          <w:rFonts w:ascii="Palatino Linotype" w:hAnsi="Palatino Linotype" w:cs="Tahoma"/>
        </w:rPr>
        <w:t>,</w:t>
      </w:r>
      <w:r w:rsidRPr="0086155F">
        <w:rPr>
          <w:rFonts w:ascii="Palatino Linotype" w:hAnsi="Palatino Linotype" w:cs="Tahoma"/>
        </w:rPr>
        <w:t xml:space="preserve"> cuando la información no se encuentre en los archivos del </w:t>
      </w:r>
      <w:r w:rsidR="009039FE" w:rsidRPr="0086155F">
        <w:rPr>
          <w:rFonts w:ascii="Palatino Linotype" w:hAnsi="Palatino Linotype" w:cs="Tahoma"/>
        </w:rPr>
        <w:t>Sujeto Obligado</w:t>
      </w:r>
      <w:r w:rsidRPr="0086155F">
        <w:rPr>
          <w:rFonts w:ascii="Palatino Linotype" w:hAnsi="Palatino Linotype" w:cs="Tahoma"/>
        </w:rPr>
        <w:t xml:space="preserve">, el </w:t>
      </w:r>
      <w:r w:rsidRPr="0086155F">
        <w:rPr>
          <w:rFonts w:ascii="Palatino Linotype" w:hAnsi="Palatino Linotype" w:cs="Tahoma"/>
          <w:u w:val="single"/>
        </w:rPr>
        <w:t>Comité de Transparencia expedirá una resolución que confirme la inexistencia</w:t>
      </w:r>
      <w:r w:rsidRPr="0086155F">
        <w:rPr>
          <w:rFonts w:ascii="Palatino Linotype" w:hAnsi="Palatino Linotype" w:cs="Tahoma"/>
        </w:rPr>
        <w:t xml:space="preserve"> del documento y la notificara al solicitante.</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lastRenderedPageBreak/>
        <w:t xml:space="preserve">Así pues, de lo anterior se desprende que los </w:t>
      </w:r>
      <w:r w:rsidRPr="0086155F">
        <w:rPr>
          <w:rFonts w:ascii="Palatino Linotype" w:hAnsi="Palatino Linotype" w:cs="Tahoma"/>
          <w:b/>
        </w:rPr>
        <w:t>Comités de Transparencia</w:t>
      </w:r>
      <w:r w:rsidRPr="0086155F">
        <w:rPr>
          <w:rFonts w:ascii="Palatino Linotype" w:hAnsi="Palatino Linotype" w:cs="Tahoma"/>
        </w:rPr>
        <w:t xml:space="preserve"> se encuentran obligados a emitir una </w:t>
      </w:r>
      <w:r w:rsidRPr="0086155F">
        <w:rPr>
          <w:rFonts w:ascii="Palatino Linotype" w:hAnsi="Palatino Linotype" w:cs="Tahoma"/>
          <w:b/>
        </w:rPr>
        <w:t>resolución</w:t>
      </w:r>
      <w:r w:rsidRPr="0086155F">
        <w:rPr>
          <w:rFonts w:ascii="Palatino Linotype" w:hAnsi="Palatino Linotype" w:cs="Tahoma"/>
        </w:rPr>
        <w:t xml:space="preserve"> al acaecer dos supuestos: (i) que la información solicitada resulte clasificada y, (ii) que la información solicitada no se encuentre en los archivos del </w:t>
      </w:r>
      <w:r w:rsidR="009039FE" w:rsidRPr="0086155F">
        <w:rPr>
          <w:rFonts w:ascii="Palatino Linotype" w:hAnsi="Palatino Linotype" w:cs="Tahoma"/>
        </w:rPr>
        <w:t>Sujeto Obligado</w:t>
      </w:r>
      <w:r w:rsidRPr="0086155F">
        <w:rPr>
          <w:rFonts w:ascii="Palatino Linotype" w:hAnsi="Palatino Linotype" w:cs="Tahoma"/>
        </w:rPr>
        <w:t xml:space="preserve">; quedando en el ámbito de la </w:t>
      </w:r>
      <w:r w:rsidRPr="0086155F">
        <w:rPr>
          <w:rFonts w:ascii="Palatino Linotype" w:hAnsi="Palatino Linotype" w:cs="Tahoma"/>
          <w:b/>
        </w:rPr>
        <w:t>Unidad de Transparencia la declaración de incompetencia</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D76964" w:rsidRDefault="009E0861" w:rsidP="00D76964">
      <w:pPr>
        <w:spacing w:after="0" w:line="360" w:lineRule="auto"/>
        <w:jc w:val="both"/>
        <w:rPr>
          <w:rFonts w:ascii="Palatino Linotype" w:hAnsi="Palatino Linotype" w:cs="Tahoma"/>
          <w:i/>
        </w:rPr>
      </w:pPr>
      <w:r w:rsidRPr="0086155F">
        <w:rPr>
          <w:rFonts w:ascii="Palatino Linotype" w:hAnsi="Palatino Linotype" w:cs="Tahoma"/>
        </w:rPr>
        <w:t>Por tanto, adminiculando lo dispuesto por el Título Segundo con lo establecido por el Titulo Sé</w:t>
      </w:r>
      <w:r w:rsidR="00447F6F" w:rsidRPr="0086155F">
        <w:rPr>
          <w:rFonts w:ascii="Palatino Linotype" w:hAnsi="Palatino Linotype" w:cs="Tahoma"/>
        </w:rPr>
        <w:t>p</w:t>
      </w:r>
      <w:r w:rsidRPr="0086155F">
        <w:rPr>
          <w:rFonts w:ascii="Palatino Linotype" w:hAnsi="Palatino Linotype" w:cs="Tahoma"/>
        </w:rPr>
        <w:t>timo</w:t>
      </w:r>
      <w:r w:rsidR="00BF1384" w:rsidRPr="0086155F">
        <w:rPr>
          <w:rFonts w:ascii="Palatino Linotype" w:hAnsi="Palatino Linotype" w:cs="Tahoma"/>
        </w:rPr>
        <w:t xml:space="preserve"> de la Ley en cita</w:t>
      </w:r>
      <w:r w:rsidRPr="0086155F">
        <w:rPr>
          <w:rFonts w:ascii="Palatino Linotype" w:hAnsi="Palatino Linotype" w:cs="Tahoma"/>
        </w:rPr>
        <w:t xml:space="preserve">, se tiene que los Comités de Transparencia, como máxima autoridad </w:t>
      </w:r>
      <w:r w:rsidR="00097988" w:rsidRPr="0086155F">
        <w:rPr>
          <w:rFonts w:ascii="Palatino Linotype" w:hAnsi="Palatino Linotype" w:cs="Tahoma"/>
        </w:rPr>
        <w:t xml:space="preserve">al interior del </w:t>
      </w:r>
      <w:r w:rsidR="009039FE" w:rsidRPr="0086155F">
        <w:rPr>
          <w:rFonts w:ascii="Palatino Linotype" w:hAnsi="Palatino Linotype" w:cs="Tahoma"/>
        </w:rPr>
        <w:t>Sujeto Obligado</w:t>
      </w:r>
      <w:r w:rsidR="00097988" w:rsidRPr="0086155F">
        <w:rPr>
          <w:rFonts w:ascii="Palatino Linotype" w:hAnsi="Palatino Linotype" w:cs="Tahoma"/>
        </w:rPr>
        <w:t>,</w:t>
      </w:r>
      <w:r w:rsidRPr="0086155F">
        <w:rPr>
          <w:rFonts w:ascii="Palatino Linotype" w:hAnsi="Palatino Linotype" w:cs="Tahoma"/>
        </w:rPr>
        <w:t xml:space="preserve"> cuentan con atribuciones para revisar las determinaciones que efectúen los titulares de las áreas, en materia de ampliación del plazo de respuesta, clasificación de la información y declaración de inexistencia o de incompetencia, </w:t>
      </w:r>
      <w:r w:rsidRPr="00B876CC">
        <w:rPr>
          <w:rFonts w:ascii="Palatino Linotype" w:hAnsi="Palatino Linotype" w:cs="Tahoma"/>
        </w:rPr>
        <w:t>pero únicamente se encuentran obligados a emitir una resolución para su notificación al solicitante, cuando la información solicitada resulte clasificada o inexistente</w:t>
      </w:r>
      <w:r w:rsidR="00D76964" w:rsidRPr="00B876CC">
        <w:rPr>
          <w:rFonts w:ascii="Palatino Linotype" w:hAnsi="Palatino Linotype" w:cs="Tahoma"/>
        </w:rPr>
        <w:t>;</w:t>
      </w:r>
      <w:r w:rsidR="00001916" w:rsidRPr="00B876CC">
        <w:rPr>
          <w:rFonts w:ascii="Palatino Linotype" w:hAnsi="Palatino Linotype" w:cs="Tahoma"/>
        </w:rPr>
        <w:t xml:space="preserve"> lo anterior cobra relevancia en virtud de que </w:t>
      </w:r>
      <w:r w:rsidR="00D76964" w:rsidRPr="00B876CC">
        <w:rPr>
          <w:rFonts w:ascii="Palatino Linotype" w:hAnsi="Palatino Linotype" w:cs="Tahoma"/>
        </w:rPr>
        <w:t xml:space="preserve">el artículo 70, fracción V, </w:t>
      </w:r>
      <w:r w:rsidR="00001916" w:rsidRPr="00B876CC">
        <w:rPr>
          <w:rFonts w:ascii="Palatino Linotype" w:hAnsi="Palatino Linotype" w:cs="Tahoma"/>
        </w:rPr>
        <w:t>de la Ley de Protección de Datos Personales en Posesión de Sujetos Obligados del Estado de México y Municipios, estable</w:t>
      </w:r>
      <w:r w:rsidR="00D76964" w:rsidRPr="00B876CC">
        <w:rPr>
          <w:rFonts w:ascii="Palatino Linotype" w:hAnsi="Palatino Linotype" w:cs="Tahoma"/>
        </w:rPr>
        <w:t>ce</w:t>
      </w:r>
      <w:r w:rsidR="00001916" w:rsidRPr="00B876CC">
        <w:rPr>
          <w:rFonts w:ascii="Palatino Linotype" w:hAnsi="Palatino Linotype" w:cs="Tahoma"/>
        </w:rPr>
        <w:t xml:space="preserve"> </w:t>
      </w:r>
      <w:r w:rsidR="00D76964" w:rsidRPr="00B876CC">
        <w:rPr>
          <w:rFonts w:ascii="Palatino Linotype" w:hAnsi="Palatino Linotype" w:cs="Tahoma"/>
        </w:rPr>
        <w:t xml:space="preserve">como responsabilidad de </w:t>
      </w:r>
      <w:r w:rsidR="00001916" w:rsidRPr="00B876CC">
        <w:rPr>
          <w:rFonts w:ascii="Palatino Linotype" w:hAnsi="Palatino Linotype" w:cs="Tahoma"/>
        </w:rPr>
        <w:t xml:space="preserve">la Unidad de Transparencia </w:t>
      </w:r>
      <w:r w:rsidR="00D76964" w:rsidRPr="00D76964">
        <w:rPr>
          <w:rFonts w:ascii="Palatino Linotype" w:hAnsi="Palatino Linotype" w:cs="Tahoma"/>
        </w:rPr>
        <w:t>“</w:t>
      </w:r>
      <w:r w:rsidR="00D76964" w:rsidRPr="00B876CC">
        <w:rPr>
          <w:rFonts w:ascii="Palatino Linotype" w:hAnsi="Palatino Linotype" w:cs="Tahoma"/>
          <w:i/>
        </w:rPr>
        <w:t>Proponer al Comité de Transparencia los procedimientos internos que aseguren y fortalezcan mayor eficiencia en la gestión de las solicitudes para el ejercicio de los derechos ARCO.”</w:t>
      </w:r>
    </w:p>
    <w:p w:rsidR="00F730F9" w:rsidRDefault="00F730F9" w:rsidP="00D76964">
      <w:pPr>
        <w:spacing w:after="0" w:line="360" w:lineRule="auto"/>
        <w:jc w:val="both"/>
        <w:rPr>
          <w:rFonts w:ascii="Palatino Linotype" w:hAnsi="Palatino Linotype" w:cs="Tahoma"/>
          <w:i/>
        </w:rPr>
      </w:pPr>
    </w:p>
    <w:p w:rsidR="00F730F9" w:rsidRDefault="00F730F9" w:rsidP="00D76964">
      <w:pPr>
        <w:spacing w:after="0" w:line="360" w:lineRule="auto"/>
        <w:jc w:val="both"/>
        <w:rPr>
          <w:rFonts w:ascii="Palatino Linotype" w:hAnsi="Palatino Linotype" w:cs="Tahoma"/>
        </w:rPr>
      </w:pPr>
      <w:r>
        <w:rPr>
          <w:rFonts w:ascii="Palatino Linotype" w:hAnsi="Palatino Linotype" w:cs="Tahoma"/>
        </w:rPr>
        <w:t xml:space="preserve">Por lo que refiere al Comité de Transparencia, la Ley </w:t>
      </w:r>
      <w:r w:rsidRPr="00164377">
        <w:rPr>
          <w:rFonts w:ascii="Palatino Linotype" w:hAnsi="Palatino Linotype" w:cs="Tahoma"/>
        </w:rPr>
        <w:t>de Protección de Datos Personales en Posesión de Sujetos Obligados del Estado de México y Municipios</w:t>
      </w:r>
      <w:r>
        <w:rPr>
          <w:rFonts w:ascii="Palatino Linotype" w:hAnsi="Palatino Linotype" w:cs="Tahoma"/>
        </w:rPr>
        <w:t xml:space="preserve"> determina en su artículo 94, como atribuciones las siguientes:</w:t>
      </w:r>
    </w:p>
    <w:p w:rsidR="00F730F9" w:rsidRDefault="00F730F9" w:rsidP="00D76964">
      <w:pPr>
        <w:spacing w:after="0" w:line="360" w:lineRule="auto"/>
        <w:jc w:val="both"/>
        <w:rPr>
          <w:rFonts w:ascii="Palatino Linotype" w:hAnsi="Palatino Linotype" w:cs="Tahoma"/>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I. Coordinar, supervisar y realizar las acciones necesarias para garantizar el derecho a la protección de los datos personales en la organización del responsable, de conformidad </w:t>
      </w:r>
      <w:r w:rsidRPr="00B876CC">
        <w:rPr>
          <w:rFonts w:ascii="Palatino Linotype" w:hAnsi="Palatino Linotype"/>
          <w:sz w:val="20"/>
          <w:szCs w:val="20"/>
        </w:rPr>
        <w:lastRenderedPageBreak/>
        <w:t xml:space="preserve">con las disposiciones previstas en la presente Ley y en aquellas disposiciones que resulten aplicables en la materia.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II. Instituir, en su caso, procedimientos internos para asegurar la mayor eficiencia en la gestión de las solicitudes para el ejercicio de los derechos ARCO.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III. Confirmar, modificar o revocar las determinaciones en las que se declare la inexistencia de los datos personales, o se niegue por cualquier causa el ejercicio de alguno de los derechos ARCO.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IV. Establecer y supervisar la aplicación de criterios específicos que resulten necesarios para una mejor observancia de la presente Ley y en aquellas disposiciones que resulten aplicables en la materia.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V. Supervisar, en coordinación con las áreas o unidades administrativas competentes, el cumplimiento de las medidas, controles y acciones previstas en el documento de seguridad.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VI. Dar seguimiento y cumplimiento a las resoluciones emitidas por el Instituto.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VII. Establecer programas de capacitación y actualización para los servidores públicos en materia de protección de datos personales.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sz w:val="20"/>
          <w:szCs w:val="20"/>
        </w:rPr>
      </w:pPr>
      <w:r w:rsidRPr="00B876CC">
        <w:rPr>
          <w:rFonts w:ascii="Palatino Linotype" w:hAnsi="Palatino Linotype"/>
          <w:sz w:val="20"/>
          <w:szCs w:val="20"/>
        </w:rPr>
        <w:t xml:space="preserve">VIII. 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 </w:t>
      </w:r>
    </w:p>
    <w:p w:rsidR="00CD7222" w:rsidRDefault="00CD7222" w:rsidP="00B876CC">
      <w:pPr>
        <w:spacing w:after="0" w:line="360" w:lineRule="auto"/>
        <w:ind w:left="567" w:right="567"/>
        <w:jc w:val="both"/>
        <w:rPr>
          <w:rFonts w:ascii="Palatino Linotype" w:hAnsi="Palatino Linotype"/>
          <w:sz w:val="20"/>
          <w:szCs w:val="20"/>
        </w:rPr>
      </w:pPr>
    </w:p>
    <w:p w:rsidR="00F730F9" w:rsidRPr="00B876CC" w:rsidRDefault="00F730F9" w:rsidP="00B876CC">
      <w:pPr>
        <w:spacing w:after="0" w:line="360" w:lineRule="auto"/>
        <w:ind w:left="567" w:right="567"/>
        <w:jc w:val="both"/>
        <w:rPr>
          <w:rFonts w:ascii="Palatino Linotype" w:hAnsi="Palatino Linotype" w:cs="Tahoma"/>
          <w:sz w:val="20"/>
          <w:szCs w:val="20"/>
        </w:rPr>
      </w:pPr>
      <w:r w:rsidRPr="00B876CC">
        <w:rPr>
          <w:rFonts w:ascii="Palatino Linotype" w:hAnsi="Palatino Linotype"/>
          <w:sz w:val="20"/>
          <w:szCs w:val="20"/>
        </w:rPr>
        <w:lastRenderedPageBreak/>
        <w:t>IX. Podrá proponer políticas públicas para la promoción de la cultura en la materia.</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otras palabras, los Comités de Transparencia actúan en dos ámbitos, el primero: al interior del </w:t>
      </w:r>
      <w:r w:rsidR="009039FE" w:rsidRPr="0086155F">
        <w:rPr>
          <w:rFonts w:ascii="Palatino Linotype" w:hAnsi="Palatino Linotype" w:cs="Tahoma"/>
        </w:rPr>
        <w:t>Sujeto Obligado</w:t>
      </w:r>
      <w:r w:rsidRPr="0086155F">
        <w:rPr>
          <w:rFonts w:ascii="Palatino Linotype" w:hAnsi="Palatino Linotype" w:cs="Tahoma"/>
        </w:rPr>
        <w:t>, facultados para evitar la arbitrariedad y la toma de decisiones unilaterales por parte de los titulares de las áreas poseedoras de la información y, el segundo: al exterior, con la finalidad de brindar certeza jurídica a los solicitantes de que la máxima autoridad al interior de los sujetos obligados en materia de transparencia</w:t>
      </w:r>
      <w:r w:rsidR="00F730F9">
        <w:rPr>
          <w:rFonts w:ascii="Palatino Linotype" w:hAnsi="Palatino Linotype" w:cs="Tahoma"/>
        </w:rPr>
        <w:t xml:space="preserve"> y protección de datos personales</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Lo que lleva a concluir, que las atribuciones conferidas a los Comités de Transparencia, tienen como único fin evitar la arbitrariedad de las decisiones en materia de transparencia al interior de </w:t>
      </w:r>
      <w:r w:rsidR="00CE343C" w:rsidRPr="0086155F">
        <w:rPr>
          <w:rFonts w:ascii="Palatino Linotype" w:hAnsi="Palatino Linotype" w:cs="Tahoma"/>
        </w:rPr>
        <w:t>estos</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006F73" w:rsidP="00E826AD">
      <w:pPr>
        <w:spacing w:after="0" w:line="360" w:lineRule="auto"/>
        <w:jc w:val="both"/>
        <w:rPr>
          <w:rFonts w:ascii="Palatino Linotype" w:hAnsi="Palatino Linotype" w:cs="Tahoma"/>
        </w:rPr>
      </w:pPr>
      <w:r w:rsidRPr="0086155F">
        <w:rPr>
          <w:rFonts w:ascii="Palatino Linotype" w:hAnsi="Palatino Linotype" w:cs="Tahoma"/>
        </w:rPr>
        <w:t>Por tanto, si bien</w:t>
      </w:r>
      <w:r w:rsidR="00D15D07" w:rsidRPr="0086155F">
        <w:rPr>
          <w:rFonts w:ascii="Palatino Linotype" w:hAnsi="Palatino Linotype" w:cs="Tahoma"/>
        </w:rPr>
        <w:t xml:space="preserve"> destaca</w:t>
      </w:r>
      <w:r w:rsidR="009E0861" w:rsidRPr="0086155F">
        <w:rPr>
          <w:rFonts w:ascii="Palatino Linotype" w:hAnsi="Palatino Linotype" w:cs="Tahoma"/>
        </w:rPr>
        <w:t xml:space="preserve"> que el propósito de mis colegas cuando instruyen al Comité de Transparencia emitir una resolución de incompetencia, ha sido dotar de plena certeza jurídica la respuesta a una solicitud de información</w:t>
      </w:r>
      <w:r w:rsidR="00D15D07" w:rsidRPr="0086155F">
        <w:rPr>
          <w:rFonts w:ascii="Palatino Linotype" w:hAnsi="Palatino Linotype" w:cs="Tahoma"/>
        </w:rPr>
        <w:t>;</w:t>
      </w:r>
      <w:r w:rsidR="009E0861" w:rsidRPr="0086155F">
        <w:rPr>
          <w:rFonts w:ascii="Palatino Linotype" w:hAnsi="Palatino Linotype" w:cs="Tahoma"/>
        </w:rPr>
        <w:t xml:space="preserve"> lo cierto es</w:t>
      </w:r>
      <w:r w:rsidR="00D15D07" w:rsidRPr="0086155F">
        <w:rPr>
          <w:rFonts w:ascii="Palatino Linotype" w:hAnsi="Palatino Linotype" w:cs="Tahoma"/>
        </w:rPr>
        <w:t>,</w:t>
      </w:r>
      <w:r w:rsidR="009E0861" w:rsidRPr="0086155F">
        <w:rPr>
          <w:rFonts w:ascii="Palatino Linotype" w:hAnsi="Palatino Linotype" w:cs="Tahoma"/>
        </w:rPr>
        <w:t xml:space="preserve"> que </w:t>
      </w:r>
      <w:r w:rsidR="00A96933" w:rsidRPr="0086155F">
        <w:rPr>
          <w:rFonts w:ascii="Palatino Linotype" w:hAnsi="Palatino Linotype" w:cs="Tahoma"/>
        </w:rPr>
        <w:t xml:space="preserve">cuando la misma deviene del marco normativo del </w:t>
      </w:r>
      <w:r w:rsidR="009039FE" w:rsidRPr="0086155F">
        <w:rPr>
          <w:rFonts w:ascii="Palatino Linotype" w:hAnsi="Palatino Linotype" w:cs="Tahoma"/>
        </w:rPr>
        <w:t>Sujeto Obligado</w:t>
      </w:r>
      <w:r w:rsidR="00A96933" w:rsidRPr="0086155F">
        <w:rPr>
          <w:rFonts w:ascii="Palatino Linotype" w:hAnsi="Palatino Linotype" w:cs="Tahoma"/>
        </w:rPr>
        <w:t xml:space="preserve"> y además que </w:t>
      </w:r>
      <w:r w:rsidRPr="0086155F">
        <w:rPr>
          <w:rFonts w:ascii="Palatino Linotype" w:hAnsi="Palatino Linotype" w:cs="Tahoma"/>
        </w:rPr>
        <w:t>l</w:t>
      </w:r>
      <w:r w:rsidR="009E0861" w:rsidRPr="0086155F">
        <w:rPr>
          <w:rFonts w:ascii="Palatino Linotype" w:hAnsi="Palatino Linotype" w:cs="Tahoma"/>
        </w:rPr>
        <w:t xml:space="preserve">a resolución elaborada por </w:t>
      </w:r>
      <w:r w:rsidR="00624DE5" w:rsidRPr="0086155F">
        <w:rPr>
          <w:rFonts w:ascii="Palatino Linotype" w:hAnsi="Palatino Linotype" w:cs="Tahoma"/>
        </w:rPr>
        <w:t>e</w:t>
      </w:r>
      <w:r w:rsidR="009E0861" w:rsidRPr="0086155F">
        <w:rPr>
          <w:rFonts w:ascii="Palatino Linotype" w:hAnsi="Palatino Linotype" w:cs="Tahoma"/>
        </w:rPr>
        <w:t>l Comisionad</w:t>
      </w:r>
      <w:r w:rsidR="00624DE5" w:rsidRPr="0086155F">
        <w:rPr>
          <w:rFonts w:ascii="Palatino Linotype" w:hAnsi="Palatino Linotype" w:cs="Tahoma"/>
        </w:rPr>
        <w:t>o</w:t>
      </w:r>
      <w:r w:rsidR="009E0861" w:rsidRPr="0086155F">
        <w:rPr>
          <w:rFonts w:ascii="Palatino Linotype" w:hAnsi="Palatino Linotype" w:cs="Tahoma"/>
        </w:rPr>
        <w:t xml:space="preserve"> Ponente contiene todos los elementos para dotar de plena certeza jurídica al </w:t>
      </w:r>
      <w:r w:rsidRPr="0086155F">
        <w:rPr>
          <w:rFonts w:ascii="Palatino Linotype" w:hAnsi="Palatino Linotype" w:cs="Tahoma"/>
        </w:rPr>
        <w:t>ahora recurrente</w:t>
      </w:r>
      <w:r w:rsidR="009E0861" w:rsidRPr="0086155F">
        <w:rPr>
          <w:rFonts w:ascii="Palatino Linotype" w:hAnsi="Palatino Linotype" w:cs="Tahoma"/>
        </w:rPr>
        <w:t xml:space="preserve"> respecto de la incompetencia del </w:t>
      </w:r>
      <w:r w:rsidR="009039FE" w:rsidRPr="0086155F">
        <w:rPr>
          <w:rFonts w:ascii="Palatino Linotype" w:hAnsi="Palatino Linotype" w:cs="Tahoma"/>
        </w:rPr>
        <w:t>Sujeto Obligado</w:t>
      </w:r>
      <w:r w:rsidR="009E0861" w:rsidRPr="0086155F">
        <w:rPr>
          <w:rFonts w:ascii="Palatino Linotype" w:hAnsi="Palatino Linotype" w:cs="Tahoma"/>
        </w:rPr>
        <w:t xml:space="preserve"> para contar con la información </w:t>
      </w:r>
      <w:r w:rsidR="001A6BD9" w:rsidRPr="0086155F">
        <w:rPr>
          <w:rFonts w:ascii="Palatino Linotype" w:hAnsi="Palatino Linotype" w:cs="Tahoma"/>
        </w:rPr>
        <w:t>materia de la solicitud</w:t>
      </w:r>
      <w:r w:rsidR="009E0861" w:rsidRPr="0086155F">
        <w:rPr>
          <w:rFonts w:ascii="Palatino Linotype" w:hAnsi="Palatino Linotype" w:cs="Tahoma"/>
        </w:rPr>
        <w:t>, aunado a que</w:t>
      </w:r>
      <w:r w:rsidR="001A6BD9" w:rsidRPr="0086155F">
        <w:rPr>
          <w:rFonts w:ascii="Palatino Linotype" w:hAnsi="Palatino Linotype" w:cs="Tahoma"/>
        </w:rPr>
        <w:t xml:space="preserve"> dicha incompetencia</w:t>
      </w:r>
      <w:r w:rsidR="009E0861" w:rsidRPr="0086155F">
        <w:rPr>
          <w:rFonts w:ascii="Palatino Linotype" w:hAnsi="Palatino Linotype" w:cs="Tahoma"/>
        </w:rPr>
        <w:t xml:space="preserve"> fue validada por unanimidad por los integrantes del Pleno de este Instituto, máxima autoridad local en el derecho de acceso a la información; </w:t>
      </w:r>
      <w:r w:rsidR="001A6BD9" w:rsidRPr="0086155F">
        <w:rPr>
          <w:rFonts w:ascii="Palatino Linotype" w:hAnsi="Palatino Linotype" w:cs="Tahoma"/>
        </w:rPr>
        <w:t xml:space="preserve">se </w:t>
      </w:r>
      <w:r w:rsidRPr="0086155F">
        <w:rPr>
          <w:rFonts w:ascii="Palatino Linotype" w:hAnsi="Palatino Linotype" w:cs="Tahoma"/>
        </w:rPr>
        <w:t>vuelve</w:t>
      </w:r>
      <w:r w:rsidR="009E0861" w:rsidRPr="0086155F">
        <w:rPr>
          <w:rFonts w:ascii="Palatino Linotype" w:hAnsi="Palatino Linotype" w:cs="Tahoma"/>
        </w:rPr>
        <w:t xml:space="preserve"> innecesaria una resolución por parte de un Comité de Transparencia</w:t>
      </w:r>
      <w:r w:rsidR="001A6BD9" w:rsidRPr="0086155F">
        <w:rPr>
          <w:rFonts w:ascii="Palatino Linotype" w:hAnsi="Palatino Linotype" w:cs="Tahoma"/>
        </w:rPr>
        <w:t xml:space="preserve"> de menor jerarquía</w:t>
      </w:r>
      <w:r w:rsidR="009E0861" w:rsidRPr="0086155F">
        <w:rPr>
          <w:rFonts w:ascii="Palatino Linotype" w:hAnsi="Palatino Linotype" w:cs="Tahoma"/>
        </w:rPr>
        <w:t>.</w:t>
      </w:r>
    </w:p>
    <w:p w:rsidR="00CD7222" w:rsidRDefault="00CD7222" w:rsidP="00E826AD">
      <w:pPr>
        <w:spacing w:after="0" w:line="360" w:lineRule="auto"/>
        <w:jc w:val="both"/>
        <w:rPr>
          <w:rFonts w:ascii="Palatino Linotype" w:hAnsi="Palatino Linotype" w:cs="Tahoma"/>
          <w:spacing w:val="-4"/>
        </w:rPr>
      </w:pPr>
    </w:p>
    <w:p w:rsidR="009E0861" w:rsidRPr="0086155F" w:rsidRDefault="00A96933" w:rsidP="00E826AD">
      <w:pPr>
        <w:spacing w:after="0" w:line="360" w:lineRule="auto"/>
        <w:jc w:val="both"/>
        <w:rPr>
          <w:rFonts w:ascii="Palatino Linotype" w:hAnsi="Palatino Linotype" w:cs="Tahoma"/>
          <w:spacing w:val="-4"/>
        </w:rPr>
      </w:pPr>
      <w:r w:rsidRPr="0086155F">
        <w:rPr>
          <w:rFonts w:ascii="Palatino Linotype" w:hAnsi="Palatino Linotype" w:cs="Tahoma"/>
          <w:spacing w:val="-4"/>
        </w:rPr>
        <w:lastRenderedPageBreak/>
        <w:t>Interpretar la norma en sentido</w:t>
      </w:r>
      <w:r w:rsidR="009E0861" w:rsidRPr="0086155F">
        <w:rPr>
          <w:rFonts w:ascii="Palatino Linotype" w:hAnsi="Palatino Linotype" w:cs="Tahoma"/>
          <w:spacing w:val="-4"/>
        </w:rPr>
        <w:t xml:space="preserve"> contrario, </w:t>
      </w:r>
      <w:r w:rsidRPr="0086155F">
        <w:rPr>
          <w:rFonts w:ascii="Palatino Linotype" w:hAnsi="Palatino Linotype" w:cs="Tahoma"/>
          <w:spacing w:val="-4"/>
        </w:rPr>
        <w:t>propicia dilatar la entrega de respuestas a los solicitantes,</w:t>
      </w:r>
      <w:r w:rsidR="00245ACA" w:rsidRPr="0086155F">
        <w:rPr>
          <w:rFonts w:ascii="Palatino Linotype" w:hAnsi="Palatino Linotype" w:cs="Tahoma"/>
          <w:spacing w:val="-4"/>
        </w:rPr>
        <w:t xml:space="preserve"> </w:t>
      </w:r>
      <w:r w:rsidR="00D45BDF" w:rsidRPr="0086155F">
        <w:rPr>
          <w:rFonts w:ascii="Palatino Linotype" w:hAnsi="Palatino Linotype" w:cs="Tahoma"/>
          <w:spacing w:val="-4"/>
        </w:rPr>
        <w:t xml:space="preserve">situación </w:t>
      </w:r>
      <w:r w:rsidR="009E0861" w:rsidRPr="0086155F">
        <w:rPr>
          <w:rFonts w:ascii="Palatino Linotype" w:hAnsi="Palatino Linotype" w:cs="Tahoma"/>
          <w:spacing w:val="-4"/>
        </w:rPr>
        <w:t xml:space="preserve">que, finalmente, en nada beneficia, pues </w:t>
      </w:r>
      <w:r w:rsidR="00D45BDF" w:rsidRPr="0086155F">
        <w:rPr>
          <w:rFonts w:ascii="Palatino Linotype" w:hAnsi="Palatino Linotype" w:cs="Tahoma"/>
          <w:spacing w:val="-4"/>
        </w:rPr>
        <w:t xml:space="preserve">este </w:t>
      </w:r>
      <w:r w:rsidR="009E0861" w:rsidRPr="0086155F">
        <w:rPr>
          <w:rFonts w:ascii="Palatino Linotype" w:hAnsi="Palatino Linotype" w:cs="Tahoma"/>
          <w:spacing w:val="-4"/>
        </w:rPr>
        <w:t>continua</w:t>
      </w:r>
      <w:r w:rsidR="00D45BDF" w:rsidRPr="0086155F">
        <w:rPr>
          <w:rFonts w:ascii="Palatino Linotype" w:hAnsi="Palatino Linotype" w:cs="Tahoma"/>
          <w:spacing w:val="-4"/>
        </w:rPr>
        <w:t>rá</w:t>
      </w:r>
      <w:r w:rsidR="009E0861" w:rsidRPr="0086155F">
        <w:rPr>
          <w:rFonts w:ascii="Palatino Linotype" w:hAnsi="Palatino Linotype" w:cs="Tahoma"/>
          <w:spacing w:val="-4"/>
        </w:rPr>
        <w:t xml:space="preserve"> sin </w:t>
      </w:r>
      <w:r w:rsidR="00F730F9">
        <w:rPr>
          <w:rFonts w:ascii="Palatino Linotype" w:hAnsi="Palatino Linotype" w:cs="Tahoma"/>
          <w:spacing w:val="-4"/>
        </w:rPr>
        <w:t>obtener la cancelación de su dato personal</w:t>
      </w:r>
      <w:r w:rsidR="009E0861" w:rsidRPr="0086155F">
        <w:rPr>
          <w:rFonts w:ascii="Palatino Linotype" w:hAnsi="Palatino Linotype" w:cs="Tahoma"/>
          <w:spacing w:val="-4"/>
        </w:rPr>
        <w:t>.</w:t>
      </w:r>
    </w:p>
    <w:p w:rsidR="0036006F" w:rsidRPr="0086155F" w:rsidRDefault="0036006F" w:rsidP="00E826AD">
      <w:pPr>
        <w:spacing w:after="0" w:line="360" w:lineRule="auto"/>
        <w:jc w:val="both"/>
        <w:rPr>
          <w:rFonts w:ascii="Palatino Linotype" w:hAnsi="Palatino Linotype" w:cs="Tahoma"/>
          <w:spacing w:val="-4"/>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Por ello, considero que los principios de sencillez y rapidez que deben regir el procedimiento </w:t>
      </w:r>
      <w:r w:rsidR="00F730F9">
        <w:rPr>
          <w:rFonts w:ascii="Palatino Linotype" w:hAnsi="Palatino Linotype" w:cs="Tahoma"/>
        </w:rPr>
        <w:t xml:space="preserve">tanto </w:t>
      </w:r>
      <w:r w:rsidRPr="0086155F">
        <w:rPr>
          <w:rFonts w:ascii="Palatino Linotype" w:hAnsi="Palatino Linotype" w:cs="Tahoma"/>
        </w:rPr>
        <w:t>de acceso a la información</w:t>
      </w:r>
      <w:r w:rsidR="00F730F9">
        <w:rPr>
          <w:rFonts w:ascii="Palatino Linotype" w:hAnsi="Palatino Linotype" w:cs="Tahoma"/>
        </w:rPr>
        <w:t xml:space="preserve"> como de los derechos de Acceso, Rectificación, Cancelación y Oposición de datos Personales</w:t>
      </w:r>
      <w:r w:rsidRPr="0086155F">
        <w:rPr>
          <w:rFonts w:ascii="Palatino Linotype" w:hAnsi="Palatino Linotype" w:cs="Tahoma"/>
        </w:rPr>
        <w:t>, tienen que ser observados en todas las determin</w:t>
      </w:r>
      <w:r w:rsidR="004A555E" w:rsidRPr="0086155F">
        <w:rPr>
          <w:rFonts w:ascii="Palatino Linotype" w:hAnsi="Palatino Linotype" w:cs="Tahoma"/>
        </w:rPr>
        <w:t>aciones que tome este Instituto; e</w:t>
      </w:r>
      <w:r w:rsidRPr="0086155F">
        <w:rPr>
          <w:rFonts w:ascii="Palatino Linotype" w:hAnsi="Palatino Linotype" w:cs="Tahoma"/>
        </w:rPr>
        <w:t>n ese sentido, omitir la instrucción para que el Comité de Transparencia emita una resolución confirmando la incompetencia, evita que los sujetos obligados generen procedimientos dilatorios en la atención de las s</w:t>
      </w:r>
      <w:r w:rsidR="0014038B" w:rsidRPr="0086155F">
        <w:rPr>
          <w:rFonts w:ascii="Palatino Linotype" w:hAnsi="Palatino Linotype" w:cs="Tahoma"/>
        </w:rPr>
        <w:t>olicitudes y permite a</w:t>
      </w:r>
      <w:r w:rsidRPr="0086155F">
        <w:rPr>
          <w:rFonts w:ascii="Palatino Linotype" w:hAnsi="Palatino Linotype" w:cs="Tahoma"/>
        </w:rPr>
        <w:t>l ciudadano emprender de nueva cuenta, en un menor tiempo, el procedimiento ante la autoridad que sí es competente.</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con base en los razonamientos expuestos, </w:t>
      </w:r>
      <w:r w:rsidRPr="0086155F">
        <w:rPr>
          <w:rFonts w:ascii="Palatino Linotype" w:hAnsi="Palatino Linotype" w:cs="Tahoma"/>
          <w:b/>
        </w:rPr>
        <w:t>se emite el presente Voto Particular</w:t>
      </w:r>
      <w:r w:rsidRPr="0086155F">
        <w:rPr>
          <w:rFonts w:ascii="Palatino Linotype" w:hAnsi="Palatino Linotype" w:cs="Tahoma"/>
        </w:rPr>
        <w:t>.</w:t>
      </w:r>
    </w:p>
    <w:p w:rsidR="00553ADE" w:rsidRPr="0086155F" w:rsidRDefault="00553ADE" w:rsidP="00E826AD">
      <w:pPr>
        <w:spacing w:after="0" w:line="360" w:lineRule="auto"/>
        <w:jc w:val="center"/>
        <w:rPr>
          <w:rFonts w:ascii="Palatino Linotype" w:hAnsi="Palatino Linotype" w:cs="Tahoma"/>
        </w:rPr>
      </w:pP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(Rúbrica)</w:t>
      </w: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Luis Gustavo Parra Noriega</w:t>
      </w:r>
    </w:p>
    <w:p w:rsidR="003512C9" w:rsidRPr="0086155F" w:rsidRDefault="00553ADE" w:rsidP="00E826AD">
      <w:pPr>
        <w:spacing w:after="0" w:line="360" w:lineRule="auto"/>
        <w:jc w:val="center"/>
        <w:rPr>
          <w:rFonts w:ascii="Palatino Linotype" w:hAnsi="Palatino Linotype" w:cs="Tahoma"/>
        </w:rPr>
      </w:pPr>
      <w:r w:rsidRPr="0086155F">
        <w:rPr>
          <w:rFonts w:ascii="Palatino Linotype" w:hAnsi="Palatino Linotype" w:cs="Tahoma"/>
        </w:rPr>
        <w:t>Comisionado</w:t>
      </w:r>
    </w:p>
    <w:sectPr w:rsidR="003512C9" w:rsidRPr="0086155F"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A7" w:rsidRDefault="00C905A7" w:rsidP="00EE29F6">
      <w:pPr>
        <w:spacing w:after="0" w:line="240" w:lineRule="auto"/>
      </w:pPr>
      <w:r>
        <w:separator/>
      </w:r>
    </w:p>
  </w:endnote>
  <w:endnote w:type="continuationSeparator" w:id="0">
    <w:p w:rsidR="00C905A7" w:rsidRDefault="00C905A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B876CC">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B876CC">
              <w:rPr>
                <w:b/>
                <w:bCs/>
                <w:noProof/>
              </w:rPr>
              <w:t>8</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A7" w:rsidRDefault="00C905A7" w:rsidP="00EE29F6">
      <w:pPr>
        <w:spacing w:after="0" w:line="240" w:lineRule="auto"/>
      </w:pPr>
      <w:r>
        <w:separator/>
      </w:r>
    </w:p>
  </w:footnote>
  <w:footnote w:type="continuationSeparator" w:id="0">
    <w:p w:rsidR="00C905A7" w:rsidRDefault="00C905A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86155F" w:rsidRDefault="001106EA" w:rsidP="001106EA">
          <w:pPr>
            <w:pStyle w:val="Encabezado"/>
            <w:ind w:left="-108" w:right="-250"/>
            <w:jc w:val="both"/>
            <w:rPr>
              <w:rFonts w:ascii="Palatino Linotype" w:hAnsi="Palatino Linotype" w:cs="Tahoma"/>
              <w:b/>
            </w:rPr>
          </w:pPr>
          <w:r w:rsidRPr="0086155F">
            <w:rPr>
              <w:rFonts w:ascii="Palatino Linotype" w:hAnsi="Palatino Linotype" w:cs="Tahoma"/>
              <w:b/>
            </w:rPr>
            <w:t>Voto Particular</w:t>
          </w:r>
        </w:p>
        <w:p w:rsidR="0077694E" w:rsidRPr="0086155F" w:rsidRDefault="001106EA" w:rsidP="00962B86">
          <w:pPr>
            <w:pStyle w:val="Encabezado"/>
            <w:ind w:left="-108" w:right="-250"/>
            <w:jc w:val="both"/>
            <w:rPr>
              <w:rFonts w:ascii="Palatino Linotype" w:hAnsi="Palatino Linotype" w:cs="Tahoma"/>
              <w:b/>
            </w:rPr>
          </w:pPr>
          <w:r w:rsidRPr="0086155F">
            <w:rPr>
              <w:rFonts w:ascii="Palatino Linotype" w:hAnsi="Palatino Linotype" w:cs="Tahoma"/>
              <w:b/>
            </w:rPr>
            <w:t>Recurso de Revisión: 0</w:t>
          </w:r>
          <w:r w:rsidR="00500949" w:rsidRPr="0086155F">
            <w:rPr>
              <w:rFonts w:ascii="Palatino Linotype" w:hAnsi="Palatino Linotype" w:cs="Tahoma"/>
              <w:b/>
            </w:rPr>
            <w:t>3</w:t>
          </w:r>
          <w:r w:rsidR="005959CA">
            <w:rPr>
              <w:rFonts w:ascii="Palatino Linotype" w:hAnsi="Palatino Linotype" w:cs="Tahoma"/>
              <w:b/>
            </w:rPr>
            <w:t>634</w:t>
          </w:r>
          <w:r w:rsidRPr="0086155F">
            <w:rPr>
              <w:rFonts w:ascii="Palatino Linotype" w:hAnsi="Palatino Linotype" w:cs="Tahoma"/>
              <w:b/>
            </w:rPr>
            <w:t>/INFOEM/IP/RR/2018</w:t>
          </w:r>
          <w:r w:rsidR="001247C3" w:rsidRPr="0086155F">
            <w:rPr>
              <w:rFonts w:ascii="Palatino Linotype" w:hAnsi="Palatino Linotype" w:cs="Tahoma"/>
              <w:b/>
            </w:rPr>
            <w:t xml:space="preserve"> </w:t>
          </w:r>
        </w:p>
        <w:p w:rsidR="006F754E" w:rsidRPr="001106EA" w:rsidRDefault="006F754E" w:rsidP="005959CA">
          <w:pPr>
            <w:pStyle w:val="Encabezado"/>
            <w:ind w:left="-108" w:right="-250"/>
            <w:jc w:val="both"/>
            <w:rPr>
              <w:rFonts w:ascii="Tahoma" w:hAnsi="Tahoma" w:cs="Tahoma"/>
            </w:rPr>
          </w:pPr>
          <w:r w:rsidRPr="0086155F">
            <w:rPr>
              <w:rFonts w:ascii="Palatino Linotype" w:hAnsi="Palatino Linotype" w:cs="Tahoma"/>
              <w:b/>
            </w:rPr>
            <w:t>Comisionad</w:t>
          </w:r>
          <w:r w:rsidR="001247C3" w:rsidRPr="0086155F">
            <w:rPr>
              <w:rFonts w:ascii="Palatino Linotype" w:hAnsi="Palatino Linotype" w:cs="Tahoma"/>
              <w:b/>
            </w:rPr>
            <w:t>o</w:t>
          </w:r>
          <w:r w:rsidRPr="0086155F">
            <w:rPr>
              <w:rFonts w:ascii="Palatino Linotype" w:hAnsi="Palatino Linotype" w:cs="Tahoma"/>
              <w:b/>
            </w:rPr>
            <w:t xml:space="preserve"> Ponente: </w:t>
          </w:r>
          <w:r w:rsidR="005959CA">
            <w:rPr>
              <w:rFonts w:ascii="Palatino Linotype" w:hAnsi="Palatino Linotype" w:cs="Tahoma"/>
              <w:b/>
            </w:rPr>
            <w:t>Javier Martínez Cruz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1916"/>
    <w:rsid w:val="00006F73"/>
    <w:rsid w:val="00010AAD"/>
    <w:rsid w:val="00020D08"/>
    <w:rsid w:val="0002627D"/>
    <w:rsid w:val="00026846"/>
    <w:rsid w:val="0002759D"/>
    <w:rsid w:val="000301C6"/>
    <w:rsid w:val="00031240"/>
    <w:rsid w:val="0005256C"/>
    <w:rsid w:val="00060F74"/>
    <w:rsid w:val="0006561A"/>
    <w:rsid w:val="00087AC8"/>
    <w:rsid w:val="00097988"/>
    <w:rsid w:val="000A65BC"/>
    <w:rsid w:val="000B235B"/>
    <w:rsid w:val="000B7F6F"/>
    <w:rsid w:val="000C10B7"/>
    <w:rsid w:val="000D186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07A1"/>
    <w:rsid w:val="0018472D"/>
    <w:rsid w:val="00193AA8"/>
    <w:rsid w:val="00197A72"/>
    <w:rsid w:val="001A145C"/>
    <w:rsid w:val="001A6BD9"/>
    <w:rsid w:val="001C1C64"/>
    <w:rsid w:val="001F667B"/>
    <w:rsid w:val="002060AD"/>
    <w:rsid w:val="00216BC4"/>
    <w:rsid w:val="00223F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E5A1A"/>
    <w:rsid w:val="002F104D"/>
    <w:rsid w:val="002F4E95"/>
    <w:rsid w:val="00322675"/>
    <w:rsid w:val="00333B7A"/>
    <w:rsid w:val="003512C9"/>
    <w:rsid w:val="0036006F"/>
    <w:rsid w:val="003A6218"/>
    <w:rsid w:val="003B6547"/>
    <w:rsid w:val="003B7A5E"/>
    <w:rsid w:val="003C15F3"/>
    <w:rsid w:val="003F2426"/>
    <w:rsid w:val="003F48C2"/>
    <w:rsid w:val="0040139C"/>
    <w:rsid w:val="00412CB2"/>
    <w:rsid w:val="004211BB"/>
    <w:rsid w:val="00433746"/>
    <w:rsid w:val="00434C88"/>
    <w:rsid w:val="00435E69"/>
    <w:rsid w:val="0043730D"/>
    <w:rsid w:val="00445BDF"/>
    <w:rsid w:val="00447F6F"/>
    <w:rsid w:val="0045183E"/>
    <w:rsid w:val="0047538D"/>
    <w:rsid w:val="00490F50"/>
    <w:rsid w:val="004A4555"/>
    <w:rsid w:val="004A555E"/>
    <w:rsid w:val="004B08C4"/>
    <w:rsid w:val="004B532B"/>
    <w:rsid w:val="004B541F"/>
    <w:rsid w:val="004C4912"/>
    <w:rsid w:val="004C6E57"/>
    <w:rsid w:val="004E7007"/>
    <w:rsid w:val="00500949"/>
    <w:rsid w:val="00524DA5"/>
    <w:rsid w:val="00526DBD"/>
    <w:rsid w:val="00543DF4"/>
    <w:rsid w:val="00544812"/>
    <w:rsid w:val="00553ADE"/>
    <w:rsid w:val="00560A41"/>
    <w:rsid w:val="0056120D"/>
    <w:rsid w:val="00576423"/>
    <w:rsid w:val="00582CCB"/>
    <w:rsid w:val="00584D73"/>
    <w:rsid w:val="0059329D"/>
    <w:rsid w:val="005959CA"/>
    <w:rsid w:val="005A2510"/>
    <w:rsid w:val="005B6967"/>
    <w:rsid w:val="005C094E"/>
    <w:rsid w:val="005C73EE"/>
    <w:rsid w:val="005C76C2"/>
    <w:rsid w:val="005D11C8"/>
    <w:rsid w:val="005D26CE"/>
    <w:rsid w:val="005E2798"/>
    <w:rsid w:val="00600164"/>
    <w:rsid w:val="00605683"/>
    <w:rsid w:val="0061484A"/>
    <w:rsid w:val="006248F2"/>
    <w:rsid w:val="00624DE5"/>
    <w:rsid w:val="00645087"/>
    <w:rsid w:val="00654ACD"/>
    <w:rsid w:val="00657396"/>
    <w:rsid w:val="00681338"/>
    <w:rsid w:val="00682003"/>
    <w:rsid w:val="00684B16"/>
    <w:rsid w:val="006C7FDF"/>
    <w:rsid w:val="006F5316"/>
    <w:rsid w:val="006F754E"/>
    <w:rsid w:val="00723FDB"/>
    <w:rsid w:val="00724F08"/>
    <w:rsid w:val="00730CD7"/>
    <w:rsid w:val="007378E2"/>
    <w:rsid w:val="00742A15"/>
    <w:rsid w:val="007468D5"/>
    <w:rsid w:val="0077694E"/>
    <w:rsid w:val="00786EA0"/>
    <w:rsid w:val="00796A29"/>
    <w:rsid w:val="007A2D13"/>
    <w:rsid w:val="007C05F3"/>
    <w:rsid w:val="007D3257"/>
    <w:rsid w:val="007D68AF"/>
    <w:rsid w:val="007F1744"/>
    <w:rsid w:val="007F1C1D"/>
    <w:rsid w:val="007F7D80"/>
    <w:rsid w:val="0083166F"/>
    <w:rsid w:val="00836BC2"/>
    <w:rsid w:val="00856E29"/>
    <w:rsid w:val="0086155F"/>
    <w:rsid w:val="00861757"/>
    <w:rsid w:val="00891412"/>
    <w:rsid w:val="008A0447"/>
    <w:rsid w:val="008A1DE1"/>
    <w:rsid w:val="008A3DA9"/>
    <w:rsid w:val="008B08C9"/>
    <w:rsid w:val="008E54E2"/>
    <w:rsid w:val="008F3B5A"/>
    <w:rsid w:val="009039FE"/>
    <w:rsid w:val="00922B2E"/>
    <w:rsid w:val="00927BD1"/>
    <w:rsid w:val="0093480E"/>
    <w:rsid w:val="00950355"/>
    <w:rsid w:val="00952B06"/>
    <w:rsid w:val="00954BF1"/>
    <w:rsid w:val="00962B86"/>
    <w:rsid w:val="00974836"/>
    <w:rsid w:val="009845B4"/>
    <w:rsid w:val="009943E1"/>
    <w:rsid w:val="00995450"/>
    <w:rsid w:val="009B22ED"/>
    <w:rsid w:val="009B2C0B"/>
    <w:rsid w:val="009C0313"/>
    <w:rsid w:val="009D07E2"/>
    <w:rsid w:val="009D49BE"/>
    <w:rsid w:val="009E0861"/>
    <w:rsid w:val="009E41F7"/>
    <w:rsid w:val="009E704F"/>
    <w:rsid w:val="009F6E4A"/>
    <w:rsid w:val="00A364BA"/>
    <w:rsid w:val="00A5061A"/>
    <w:rsid w:val="00A5658F"/>
    <w:rsid w:val="00A67498"/>
    <w:rsid w:val="00A742D1"/>
    <w:rsid w:val="00A87924"/>
    <w:rsid w:val="00A96933"/>
    <w:rsid w:val="00AA090B"/>
    <w:rsid w:val="00AB3E26"/>
    <w:rsid w:val="00AC333A"/>
    <w:rsid w:val="00AD25D5"/>
    <w:rsid w:val="00AF3B6B"/>
    <w:rsid w:val="00B068A1"/>
    <w:rsid w:val="00B263C5"/>
    <w:rsid w:val="00B67355"/>
    <w:rsid w:val="00B7393F"/>
    <w:rsid w:val="00B761B1"/>
    <w:rsid w:val="00B876CC"/>
    <w:rsid w:val="00BB6EE3"/>
    <w:rsid w:val="00BC4882"/>
    <w:rsid w:val="00BC55D2"/>
    <w:rsid w:val="00BD06FC"/>
    <w:rsid w:val="00BD2D9E"/>
    <w:rsid w:val="00BD4705"/>
    <w:rsid w:val="00BD5DBE"/>
    <w:rsid w:val="00BE34DF"/>
    <w:rsid w:val="00BF1384"/>
    <w:rsid w:val="00C0131C"/>
    <w:rsid w:val="00C239D2"/>
    <w:rsid w:val="00C30FD6"/>
    <w:rsid w:val="00C31FEE"/>
    <w:rsid w:val="00C41E08"/>
    <w:rsid w:val="00C55FFC"/>
    <w:rsid w:val="00C75CE0"/>
    <w:rsid w:val="00C905A7"/>
    <w:rsid w:val="00CA49D7"/>
    <w:rsid w:val="00CA7627"/>
    <w:rsid w:val="00CC2CDC"/>
    <w:rsid w:val="00CC68E1"/>
    <w:rsid w:val="00CD4339"/>
    <w:rsid w:val="00CD7222"/>
    <w:rsid w:val="00CE343C"/>
    <w:rsid w:val="00CE50F9"/>
    <w:rsid w:val="00CE61E3"/>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C8B"/>
    <w:rsid w:val="00D75FAE"/>
    <w:rsid w:val="00D76964"/>
    <w:rsid w:val="00D77F63"/>
    <w:rsid w:val="00D9114A"/>
    <w:rsid w:val="00D96166"/>
    <w:rsid w:val="00DA11C0"/>
    <w:rsid w:val="00DA51FB"/>
    <w:rsid w:val="00DC4A9C"/>
    <w:rsid w:val="00DF6CA0"/>
    <w:rsid w:val="00E145E1"/>
    <w:rsid w:val="00E26123"/>
    <w:rsid w:val="00E34559"/>
    <w:rsid w:val="00E345D1"/>
    <w:rsid w:val="00E41481"/>
    <w:rsid w:val="00E416F8"/>
    <w:rsid w:val="00E45036"/>
    <w:rsid w:val="00E656C1"/>
    <w:rsid w:val="00E7538D"/>
    <w:rsid w:val="00E826AD"/>
    <w:rsid w:val="00E82F77"/>
    <w:rsid w:val="00E83683"/>
    <w:rsid w:val="00EA7E26"/>
    <w:rsid w:val="00EB7128"/>
    <w:rsid w:val="00EC6DDF"/>
    <w:rsid w:val="00EE29F6"/>
    <w:rsid w:val="00EE79AE"/>
    <w:rsid w:val="00EF0302"/>
    <w:rsid w:val="00F011F6"/>
    <w:rsid w:val="00F14384"/>
    <w:rsid w:val="00F32B83"/>
    <w:rsid w:val="00F4155E"/>
    <w:rsid w:val="00F644D2"/>
    <w:rsid w:val="00F730F9"/>
    <w:rsid w:val="00FA177C"/>
    <w:rsid w:val="00FB3044"/>
    <w:rsid w:val="00FB59D6"/>
    <w:rsid w:val="00FB5C13"/>
    <w:rsid w:val="00FC1D9D"/>
    <w:rsid w:val="00FC1F32"/>
    <w:rsid w:val="00FD1849"/>
    <w:rsid w:val="00FD3150"/>
    <w:rsid w:val="00FD530D"/>
    <w:rsid w:val="00FF22F6"/>
    <w:rsid w:val="00FF6095"/>
    <w:rsid w:val="00FF70E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CFEB1-C5CA-469D-A86C-88F4AE09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1948</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10</cp:revision>
  <cp:lastPrinted>2018-10-01T19:36:00Z</cp:lastPrinted>
  <dcterms:created xsi:type="dcterms:W3CDTF">2018-12-14T21:20:00Z</dcterms:created>
  <dcterms:modified xsi:type="dcterms:W3CDTF">2018-12-14T22:29:00Z</dcterms:modified>
</cp:coreProperties>
</file>